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15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2086"/>
        <w:gridCol w:w="9255"/>
      </w:tblGrid>
      <w:tr w:rsidR="006277CC" w14:paraId="710F5059" w14:textId="77777777" w:rsidTr="00B32846">
        <w:tc>
          <w:tcPr>
            <w:tcW w:w="11341" w:type="dxa"/>
            <w:gridSpan w:val="2"/>
            <w:tcBorders>
              <w:top w:val="nil"/>
              <w:left w:val="nil"/>
              <w:bottom w:val="nil"/>
              <w:right w:val="nil"/>
            </w:tcBorders>
          </w:tcPr>
          <w:p w14:paraId="2ED3090F" w14:textId="21B1584B" w:rsidR="006277CC" w:rsidRPr="00B32846" w:rsidRDefault="00FA1589">
            <w:pPr>
              <w:rPr>
                <w:b/>
                <w:bCs/>
                <w:color w:val="1F497D"/>
                <w:sz w:val="30"/>
                <w:szCs w:val="30"/>
              </w:rPr>
            </w:pPr>
            <w:r>
              <w:rPr>
                <w:noProof/>
              </w:rPr>
              <w:drawing>
                <wp:anchor distT="0" distB="0" distL="114300" distR="114300" simplePos="0" relativeHeight="251660291" behindDoc="0" locked="0" layoutInCell="1" allowOverlap="1" wp14:anchorId="40EB87E4" wp14:editId="34746059">
                  <wp:simplePos x="0" y="0"/>
                  <wp:positionH relativeFrom="column">
                    <wp:posOffset>5019675</wp:posOffset>
                  </wp:positionH>
                  <wp:positionV relativeFrom="paragraph">
                    <wp:posOffset>-372110</wp:posOffset>
                  </wp:positionV>
                  <wp:extent cx="2390775" cy="11334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06B2" w:rsidRPr="00B32846">
              <w:rPr>
                <w:b/>
                <w:bCs/>
                <w:color w:val="1F497D"/>
                <w:sz w:val="30"/>
                <w:szCs w:val="30"/>
              </w:rPr>
              <w:t>Έγγραφο Βασικών Πληροφοριών</w:t>
            </w:r>
            <w:r w:rsidR="0026565A">
              <w:rPr>
                <w:b/>
                <w:bCs/>
                <w:color w:val="1F497D"/>
                <w:sz w:val="30"/>
                <w:szCs w:val="30"/>
              </w:rPr>
              <w:t xml:space="preserve"> </w:t>
            </w:r>
          </w:p>
        </w:tc>
      </w:tr>
      <w:tr w:rsidR="006277CC" w:rsidRPr="00323FE0" w14:paraId="06608A97" w14:textId="77777777" w:rsidTr="00B32846">
        <w:tc>
          <w:tcPr>
            <w:tcW w:w="11341" w:type="dxa"/>
            <w:gridSpan w:val="2"/>
            <w:tcBorders>
              <w:top w:val="nil"/>
              <w:left w:val="nil"/>
              <w:bottom w:val="nil"/>
              <w:right w:val="nil"/>
            </w:tcBorders>
          </w:tcPr>
          <w:p w14:paraId="1B539BED" w14:textId="62B289CD" w:rsidR="00132521" w:rsidRPr="00132521" w:rsidRDefault="00132521">
            <w:pPr>
              <w:rPr>
                <w:b/>
                <w:bCs/>
                <w:color w:val="1F497D"/>
                <w:sz w:val="10"/>
                <w:szCs w:val="10"/>
              </w:rPr>
            </w:pPr>
          </w:p>
          <w:p w14:paraId="45BDFDE8" w14:textId="77777777" w:rsidR="00FA1589" w:rsidRDefault="00FA1589" w:rsidP="00A3009A">
            <w:pPr>
              <w:spacing w:line="120" w:lineRule="auto"/>
              <w:rPr>
                <w:b/>
                <w:bCs/>
                <w:color w:val="1F497D"/>
              </w:rPr>
            </w:pPr>
          </w:p>
          <w:p w14:paraId="2E102281" w14:textId="5D273F8D" w:rsidR="006277CC" w:rsidRPr="00B32846" w:rsidRDefault="00466106">
            <w:pPr>
              <w:rPr>
                <w:b/>
                <w:bCs/>
                <w:color w:val="1F497D"/>
              </w:rPr>
            </w:pPr>
            <w:r w:rsidRPr="00B32846">
              <w:rPr>
                <w:b/>
                <w:bCs/>
                <w:color w:val="1F497D"/>
              </w:rPr>
              <w:t>Σκοπός</w:t>
            </w:r>
          </w:p>
          <w:p w14:paraId="47D66153" w14:textId="1F6D64F5" w:rsidR="0064550C" w:rsidRPr="00C87CD1" w:rsidRDefault="000A5C0F" w:rsidP="00C87CD1">
            <w:pPr>
              <w:jc w:val="both"/>
              <w:rPr>
                <w:sz w:val="18"/>
                <w:szCs w:val="18"/>
              </w:rPr>
            </w:pPr>
            <w:r w:rsidRPr="000A5C0F">
              <w:rPr>
                <w:sz w:val="18"/>
                <w:szCs w:val="18"/>
              </w:rPr>
              <w:t xml:space="preserve">Το έγγραφο αυτό παρέχει βασικές πληροφορίες σχετικά με το παρόν επενδυτικό προϊόν. Δεν είναι υλικό εμπορικής προώθησης. Οι πληροφορίες απαιτούνται βάσει του ισχύοντος θεσμικού πλαισίου για τα έγγραφα βασικών </w:t>
            </w:r>
            <w:r w:rsidRPr="00D83438">
              <w:rPr>
                <w:sz w:val="18"/>
                <w:szCs w:val="18"/>
              </w:rPr>
              <w:t xml:space="preserve">πληροφοριών που </w:t>
            </w:r>
            <w:r w:rsidR="00D83438" w:rsidRPr="00D83438">
              <w:rPr>
                <w:sz w:val="18"/>
                <w:szCs w:val="18"/>
              </w:rPr>
              <w:t>σχετίζονται με το προϊόν,</w:t>
            </w:r>
            <w:r w:rsidRPr="00D83438">
              <w:rPr>
                <w:sz w:val="18"/>
                <w:szCs w:val="18"/>
              </w:rPr>
              <w:t xml:space="preserve"> για</w:t>
            </w:r>
            <w:r w:rsidRPr="000A5C0F">
              <w:rPr>
                <w:sz w:val="18"/>
                <w:szCs w:val="18"/>
              </w:rPr>
              <w:t xml:space="preserve"> να σας βοηθήσουν να κατανοήσετε τη φύση, τους κινδύνους, το κόστος, τα δυνητικά κέρδη και</w:t>
            </w:r>
            <w:r w:rsidR="00FA1589">
              <w:rPr>
                <w:sz w:val="18"/>
                <w:szCs w:val="18"/>
              </w:rPr>
              <w:t xml:space="preserve"> τις</w:t>
            </w:r>
            <w:r w:rsidRPr="000A5C0F">
              <w:rPr>
                <w:sz w:val="18"/>
                <w:szCs w:val="18"/>
              </w:rPr>
              <w:t xml:space="preserve"> ζημίες του προϊόντος αυτού και να το συγκρίνετε με άλλα προϊόντα.</w:t>
            </w:r>
          </w:p>
        </w:tc>
      </w:tr>
      <w:tr w:rsidR="00866DC4" w:rsidRPr="000A5C0F" w14:paraId="62569B1C" w14:textId="77777777" w:rsidTr="00B32846">
        <w:trPr>
          <w:trHeight w:val="204"/>
        </w:trPr>
        <w:tc>
          <w:tcPr>
            <w:tcW w:w="2086" w:type="dxa"/>
            <w:tcBorders>
              <w:top w:val="nil"/>
              <w:left w:val="nil"/>
              <w:bottom w:val="nil"/>
              <w:right w:val="nil"/>
            </w:tcBorders>
          </w:tcPr>
          <w:p w14:paraId="5518F8E7" w14:textId="77777777" w:rsidR="00803E87" w:rsidRPr="00803E87" w:rsidRDefault="00803E87" w:rsidP="00FA1589">
            <w:pPr>
              <w:spacing w:line="120" w:lineRule="auto"/>
              <w:rPr>
                <w:b/>
                <w:bCs/>
                <w:color w:val="1F497D"/>
                <w:sz w:val="16"/>
                <w:szCs w:val="16"/>
              </w:rPr>
            </w:pPr>
          </w:p>
          <w:p w14:paraId="5128AD4B" w14:textId="25E81FCE" w:rsidR="00866DC4" w:rsidRPr="000A5C0F" w:rsidRDefault="00E35E03" w:rsidP="00DB547C">
            <w:pPr>
              <w:rPr>
                <w:b/>
                <w:bCs/>
                <w:color w:val="1F497D"/>
              </w:rPr>
            </w:pPr>
            <w:r w:rsidRPr="00954F81">
              <w:rPr>
                <w:b/>
                <w:bCs/>
                <w:color w:val="1F497D"/>
              </w:rPr>
              <w:t>Προϊόν</w:t>
            </w:r>
          </w:p>
        </w:tc>
        <w:tc>
          <w:tcPr>
            <w:tcW w:w="9255" w:type="dxa"/>
            <w:tcBorders>
              <w:top w:val="nil"/>
              <w:left w:val="nil"/>
              <w:bottom w:val="nil"/>
              <w:right w:val="nil"/>
            </w:tcBorders>
          </w:tcPr>
          <w:p w14:paraId="2CD429DC" w14:textId="16BB07F0" w:rsidR="00635DAA" w:rsidRPr="009B51F1" w:rsidRDefault="00635DAA">
            <w:pPr>
              <w:rPr>
                <w:sz w:val="18"/>
                <w:szCs w:val="18"/>
                <w:lang w:val="en-US"/>
              </w:rPr>
            </w:pPr>
          </w:p>
        </w:tc>
      </w:tr>
      <w:tr w:rsidR="000A5C0F" w:rsidRPr="000A5C0F" w14:paraId="7F3AE89C" w14:textId="77777777" w:rsidTr="00B32846">
        <w:trPr>
          <w:trHeight w:val="204"/>
        </w:trPr>
        <w:tc>
          <w:tcPr>
            <w:tcW w:w="2086" w:type="dxa"/>
            <w:tcBorders>
              <w:top w:val="nil"/>
              <w:left w:val="nil"/>
              <w:bottom w:val="nil"/>
              <w:right w:val="nil"/>
            </w:tcBorders>
          </w:tcPr>
          <w:p w14:paraId="07CF6C94" w14:textId="180DF53D" w:rsidR="000A5C0F" w:rsidRPr="00954F81" w:rsidRDefault="000A5C0F" w:rsidP="000A5C0F">
            <w:pPr>
              <w:rPr>
                <w:b/>
                <w:bCs/>
                <w:color w:val="1F497D"/>
              </w:rPr>
            </w:pPr>
            <w:r w:rsidRPr="00124909">
              <w:rPr>
                <w:b/>
                <w:bCs/>
                <w:color w:val="000000" w:themeColor="text1"/>
                <w:sz w:val="18"/>
                <w:szCs w:val="18"/>
              </w:rPr>
              <w:t>Κατηγορία Μεριδίων</w:t>
            </w:r>
            <w:r w:rsidRPr="00124909">
              <w:rPr>
                <w:b/>
                <w:bCs/>
                <w:color w:val="000000" w:themeColor="text1"/>
                <w:sz w:val="18"/>
                <w:szCs w:val="18"/>
                <w:lang w:val="en-US"/>
              </w:rPr>
              <w:t>:</w:t>
            </w:r>
          </w:p>
        </w:tc>
        <w:tc>
          <w:tcPr>
            <w:tcW w:w="9255" w:type="dxa"/>
            <w:tcBorders>
              <w:top w:val="nil"/>
              <w:left w:val="nil"/>
              <w:bottom w:val="nil"/>
              <w:right w:val="nil"/>
            </w:tcBorders>
          </w:tcPr>
          <w:p w14:paraId="3B852DCD" w14:textId="284CF43D" w:rsidR="000A5C0F" w:rsidRPr="00234B42" w:rsidRDefault="002954E7" w:rsidP="000A5C0F">
            <w:pPr>
              <w:rPr>
                <w:sz w:val="18"/>
                <w:szCs w:val="18"/>
                <w:lang w:val="en-US"/>
              </w:rPr>
            </w:pPr>
            <w:r>
              <w:rPr>
                <w:color w:val="000000" w:themeColor="text1"/>
                <w:sz w:val="18"/>
                <w:szCs w:val="18"/>
                <w:lang w:val="en-US"/>
              </w:rPr>
              <w:t>Institutional</w:t>
            </w:r>
            <w:r w:rsidR="000A5C0F" w:rsidRPr="00124909">
              <w:rPr>
                <w:color w:val="000000" w:themeColor="text1"/>
                <w:sz w:val="18"/>
                <w:szCs w:val="18"/>
                <w:lang w:val="en-US"/>
              </w:rPr>
              <w:t xml:space="preserve"> </w:t>
            </w:r>
          </w:p>
        </w:tc>
      </w:tr>
      <w:tr w:rsidR="000A5C0F" w:rsidRPr="00AE1904" w14:paraId="090B651B" w14:textId="77777777" w:rsidTr="00B32846">
        <w:trPr>
          <w:trHeight w:val="204"/>
        </w:trPr>
        <w:tc>
          <w:tcPr>
            <w:tcW w:w="2086" w:type="dxa"/>
            <w:tcBorders>
              <w:top w:val="nil"/>
              <w:left w:val="nil"/>
              <w:bottom w:val="nil"/>
              <w:right w:val="nil"/>
            </w:tcBorders>
          </w:tcPr>
          <w:p w14:paraId="414F0B53" w14:textId="2FC5F2BC" w:rsidR="000A5C0F" w:rsidRPr="00954F81" w:rsidRDefault="000A5C0F" w:rsidP="00DB547C">
            <w:pPr>
              <w:rPr>
                <w:b/>
                <w:bCs/>
                <w:color w:val="1F497D"/>
              </w:rPr>
            </w:pPr>
            <w:r w:rsidRPr="00F44448">
              <w:rPr>
                <w:b/>
                <w:bCs/>
                <w:sz w:val="18"/>
                <w:szCs w:val="18"/>
              </w:rPr>
              <w:t>Ονομασία προϊόντος:</w:t>
            </w:r>
          </w:p>
        </w:tc>
        <w:tc>
          <w:tcPr>
            <w:tcW w:w="9255" w:type="dxa"/>
            <w:tcBorders>
              <w:top w:val="nil"/>
              <w:left w:val="nil"/>
              <w:bottom w:val="nil"/>
              <w:right w:val="nil"/>
            </w:tcBorders>
          </w:tcPr>
          <w:p w14:paraId="10723942" w14:textId="71BE2BC0" w:rsidR="000A5C0F" w:rsidRPr="00234B42" w:rsidRDefault="000A5C0F">
            <w:pPr>
              <w:rPr>
                <w:sz w:val="18"/>
                <w:szCs w:val="18"/>
                <w:lang w:val="en-US"/>
              </w:rPr>
            </w:pPr>
            <w:r w:rsidRPr="000D2168">
              <w:rPr>
                <w:sz w:val="18"/>
                <w:szCs w:val="18"/>
                <w:lang w:val="en-US"/>
              </w:rPr>
              <w:t>ALPHA FUND OF FUNDS COSMOS STARS SILK ROUTE ASIA ΜΕΤΟΧΙΚΟ</w:t>
            </w:r>
            <w:r w:rsidRPr="009B51F1">
              <w:rPr>
                <w:sz w:val="18"/>
                <w:szCs w:val="18"/>
                <w:lang w:val="en-US"/>
              </w:rPr>
              <w:t xml:space="preserve"> (</w:t>
            </w:r>
            <w:r w:rsidRPr="00770FA6">
              <w:rPr>
                <w:sz w:val="18"/>
                <w:szCs w:val="18"/>
              </w:rPr>
              <w:t>εφεξής</w:t>
            </w:r>
            <w:r w:rsidRPr="00770FA6">
              <w:rPr>
                <w:sz w:val="18"/>
                <w:szCs w:val="18"/>
                <w:lang w:val="en-US"/>
              </w:rPr>
              <w:t xml:space="preserve"> </w:t>
            </w:r>
            <w:r w:rsidR="001874C0" w:rsidRPr="001874C0">
              <w:rPr>
                <w:sz w:val="18"/>
                <w:szCs w:val="18"/>
                <w:lang w:val="en-US"/>
              </w:rPr>
              <w:t>«</w:t>
            </w:r>
            <w:r w:rsidRPr="00770FA6">
              <w:rPr>
                <w:sz w:val="18"/>
                <w:szCs w:val="18"/>
              </w:rPr>
              <w:t>Αμοιβαίο</w:t>
            </w:r>
            <w:r w:rsidRPr="00770FA6">
              <w:rPr>
                <w:sz w:val="18"/>
                <w:szCs w:val="18"/>
                <w:lang w:val="en-US"/>
              </w:rPr>
              <w:t xml:space="preserve"> </w:t>
            </w:r>
            <w:r w:rsidRPr="00770FA6">
              <w:rPr>
                <w:sz w:val="18"/>
                <w:szCs w:val="18"/>
              </w:rPr>
              <w:t>Κεφάλαιο</w:t>
            </w:r>
            <w:r w:rsidR="001874C0" w:rsidRPr="001874C0">
              <w:rPr>
                <w:sz w:val="18"/>
                <w:szCs w:val="18"/>
                <w:lang w:val="en-US"/>
              </w:rPr>
              <w:t>»</w:t>
            </w:r>
            <w:r w:rsidRPr="00770FA6">
              <w:rPr>
                <w:sz w:val="18"/>
                <w:szCs w:val="18"/>
                <w:lang w:val="en-US"/>
              </w:rPr>
              <w:t>)</w:t>
            </w:r>
          </w:p>
        </w:tc>
      </w:tr>
      <w:tr w:rsidR="00866DC4" w14:paraId="41B41F93" w14:textId="77777777" w:rsidTr="00DA1DA9">
        <w:trPr>
          <w:trHeight w:val="194"/>
        </w:trPr>
        <w:tc>
          <w:tcPr>
            <w:tcW w:w="2086" w:type="dxa"/>
            <w:tcBorders>
              <w:top w:val="nil"/>
              <w:left w:val="nil"/>
              <w:bottom w:val="nil"/>
              <w:right w:val="nil"/>
            </w:tcBorders>
          </w:tcPr>
          <w:p w14:paraId="4302531B" w14:textId="294C6D75" w:rsidR="00866DC4" w:rsidRPr="00F44448" w:rsidRDefault="00083B93" w:rsidP="00CA10B5">
            <w:pPr>
              <w:rPr>
                <w:b/>
                <w:bCs/>
                <w:sz w:val="18"/>
                <w:szCs w:val="18"/>
              </w:rPr>
            </w:pPr>
            <w:r w:rsidRPr="00F44448">
              <w:rPr>
                <w:b/>
                <w:bCs/>
                <w:sz w:val="18"/>
                <w:szCs w:val="18"/>
                <w:lang w:val="en-US"/>
              </w:rPr>
              <w:t>ISIN</w:t>
            </w:r>
            <w:r w:rsidR="00CA10B5" w:rsidRPr="00F44448">
              <w:rPr>
                <w:b/>
                <w:bCs/>
                <w:sz w:val="18"/>
                <w:szCs w:val="18"/>
              </w:rPr>
              <w:t>:</w:t>
            </w:r>
          </w:p>
        </w:tc>
        <w:tc>
          <w:tcPr>
            <w:tcW w:w="9255" w:type="dxa"/>
            <w:tcBorders>
              <w:top w:val="nil"/>
              <w:left w:val="nil"/>
              <w:bottom w:val="nil"/>
              <w:right w:val="nil"/>
            </w:tcBorders>
          </w:tcPr>
          <w:p w14:paraId="5FCFCB38" w14:textId="574FFA27" w:rsidR="00866DC4" w:rsidRPr="00124909" w:rsidRDefault="002954E7">
            <w:pPr>
              <w:rPr>
                <w:sz w:val="18"/>
                <w:szCs w:val="18"/>
                <w:lang w:val="en-US"/>
              </w:rPr>
            </w:pPr>
            <w:r w:rsidRPr="002954E7">
              <w:rPr>
                <w:sz w:val="18"/>
                <w:szCs w:val="18"/>
                <w:lang w:val="en-US"/>
              </w:rPr>
              <w:t>GRF000234002</w:t>
            </w:r>
          </w:p>
        </w:tc>
      </w:tr>
      <w:tr w:rsidR="00866DC4" w:rsidRPr="00F96A25" w14:paraId="5762E597" w14:textId="77777777" w:rsidTr="00DA1DA9">
        <w:trPr>
          <w:trHeight w:val="20"/>
        </w:trPr>
        <w:tc>
          <w:tcPr>
            <w:tcW w:w="2086" w:type="dxa"/>
            <w:tcBorders>
              <w:top w:val="nil"/>
              <w:left w:val="nil"/>
              <w:bottom w:val="nil"/>
              <w:right w:val="nil"/>
            </w:tcBorders>
          </w:tcPr>
          <w:p w14:paraId="269B47E8" w14:textId="036B7CB4" w:rsidR="00866DC4" w:rsidRPr="00F44448" w:rsidRDefault="00CA10B5" w:rsidP="00CA10B5">
            <w:pPr>
              <w:rPr>
                <w:b/>
                <w:bCs/>
                <w:sz w:val="18"/>
                <w:szCs w:val="18"/>
              </w:rPr>
            </w:pPr>
            <w:r w:rsidRPr="00F44448">
              <w:rPr>
                <w:b/>
                <w:bCs/>
                <w:sz w:val="18"/>
                <w:szCs w:val="18"/>
              </w:rPr>
              <w:t xml:space="preserve">Παραγωγός </w:t>
            </w:r>
            <w:r w:rsidR="00D77F69">
              <w:rPr>
                <w:b/>
                <w:bCs/>
                <w:sz w:val="18"/>
                <w:szCs w:val="18"/>
                <w:lang w:val="en-US"/>
              </w:rPr>
              <w:t>PR</w:t>
            </w:r>
            <w:r w:rsidR="00842099">
              <w:rPr>
                <w:b/>
                <w:bCs/>
                <w:sz w:val="18"/>
                <w:szCs w:val="18"/>
                <w:lang w:val="en-US"/>
              </w:rPr>
              <w:t>I</w:t>
            </w:r>
            <w:r w:rsidR="00D77F69">
              <w:rPr>
                <w:b/>
                <w:bCs/>
                <w:sz w:val="18"/>
                <w:szCs w:val="18"/>
                <w:lang w:val="en-US"/>
              </w:rPr>
              <w:t>IP</w:t>
            </w:r>
            <w:r w:rsidRPr="00F44448">
              <w:rPr>
                <w:b/>
                <w:bCs/>
                <w:sz w:val="18"/>
                <w:szCs w:val="18"/>
              </w:rPr>
              <w:t>:</w:t>
            </w:r>
          </w:p>
        </w:tc>
        <w:tc>
          <w:tcPr>
            <w:tcW w:w="9255" w:type="dxa"/>
            <w:tcBorders>
              <w:top w:val="nil"/>
              <w:left w:val="nil"/>
              <w:bottom w:val="nil"/>
              <w:right w:val="nil"/>
            </w:tcBorders>
          </w:tcPr>
          <w:p w14:paraId="362C2A63" w14:textId="6F4485DE" w:rsidR="00866DC4" w:rsidRPr="00F96A25" w:rsidRDefault="002876E5">
            <w:pPr>
              <w:rPr>
                <w:sz w:val="18"/>
                <w:szCs w:val="18"/>
              </w:rPr>
            </w:pPr>
            <w:r w:rsidRPr="00CA30C8">
              <w:rPr>
                <w:sz w:val="18"/>
                <w:szCs w:val="18"/>
                <w:lang w:val="en-US"/>
              </w:rPr>
              <w:t>Alpha</w:t>
            </w:r>
            <w:r w:rsidRPr="00F96A25">
              <w:rPr>
                <w:sz w:val="18"/>
                <w:szCs w:val="18"/>
              </w:rPr>
              <w:t xml:space="preserve"> </w:t>
            </w:r>
            <w:r w:rsidRPr="00CA30C8">
              <w:rPr>
                <w:sz w:val="18"/>
                <w:szCs w:val="18"/>
                <w:lang w:val="en-US"/>
              </w:rPr>
              <w:t>Asset</w:t>
            </w:r>
            <w:r w:rsidRPr="00F96A25">
              <w:rPr>
                <w:sz w:val="18"/>
                <w:szCs w:val="18"/>
              </w:rPr>
              <w:t xml:space="preserve"> </w:t>
            </w:r>
            <w:r w:rsidRPr="00CA30C8">
              <w:rPr>
                <w:sz w:val="18"/>
                <w:szCs w:val="18"/>
                <w:lang w:val="en-US"/>
              </w:rPr>
              <w:t>Management</w:t>
            </w:r>
            <w:r w:rsidRPr="00F96A25">
              <w:rPr>
                <w:sz w:val="18"/>
                <w:szCs w:val="18"/>
              </w:rPr>
              <w:t xml:space="preserve"> Α.Ε.Δ.Α.Κ.</w:t>
            </w:r>
            <w:r w:rsidR="00DD1498" w:rsidRPr="00F96A25">
              <w:rPr>
                <w:sz w:val="18"/>
                <w:szCs w:val="18"/>
              </w:rPr>
              <w:t xml:space="preserve"> (</w:t>
            </w:r>
            <w:r w:rsidR="00DD1498" w:rsidRPr="00CA30C8">
              <w:rPr>
                <w:sz w:val="18"/>
                <w:szCs w:val="18"/>
              </w:rPr>
              <w:t>εφεξής</w:t>
            </w:r>
            <w:r w:rsidR="00DD1498" w:rsidRPr="00F96A25">
              <w:rPr>
                <w:sz w:val="18"/>
                <w:szCs w:val="18"/>
              </w:rPr>
              <w:t xml:space="preserve"> </w:t>
            </w:r>
            <w:r w:rsidR="001874C0" w:rsidRPr="00F96A25">
              <w:rPr>
                <w:sz w:val="18"/>
                <w:szCs w:val="18"/>
              </w:rPr>
              <w:t>«</w:t>
            </w:r>
            <w:r w:rsidR="00DD1498" w:rsidRPr="00CA30C8">
              <w:rPr>
                <w:sz w:val="18"/>
                <w:szCs w:val="18"/>
              </w:rPr>
              <w:t>Εταιρεία</w:t>
            </w:r>
            <w:r w:rsidR="001874C0" w:rsidRPr="00F96A25">
              <w:rPr>
                <w:sz w:val="18"/>
                <w:szCs w:val="18"/>
              </w:rPr>
              <w:t>»</w:t>
            </w:r>
            <w:r w:rsidR="00DD1498" w:rsidRPr="00F96A25">
              <w:rPr>
                <w:sz w:val="18"/>
                <w:szCs w:val="18"/>
              </w:rPr>
              <w:t>)</w:t>
            </w:r>
            <w:r w:rsidR="00F96A25" w:rsidRPr="00F96A25">
              <w:rPr>
                <w:sz w:val="18"/>
                <w:szCs w:val="18"/>
              </w:rPr>
              <w:t xml:space="preserve"> μέλος του Ομίλου Alpha Bank</w:t>
            </w:r>
          </w:p>
        </w:tc>
      </w:tr>
      <w:tr w:rsidR="00866DC4" w14:paraId="36E61170" w14:textId="77777777" w:rsidTr="00DA1DA9">
        <w:trPr>
          <w:trHeight w:val="215"/>
        </w:trPr>
        <w:tc>
          <w:tcPr>
            <w:tcW w:w="2086" w:type="dxa"/>
            <w:tcBorders>
              <w:top w:val="nil"/>
              <w:left w:val="nil"/>
              <w:bottom w:val="nil"/>
              <w:right w:val="nil"/>
            </w:tcBorders>
          </w:tcPr>
          <w:p w14:paraId="70A6BCDC" w14:textId="0CD9F01D" w:rsidR="00866DC4" w:rsidRPr="00124909" w:rsidRDefault="00CA10B5">
            <w:pPr>
              <w:rPr>
                <w:b/>
                <w:bCs/>
                <w:sz w:val="18"/>
                <w:szCs w:val="18"/>
              </w:rPr>
            </w:pPr>
            <w:r w:rsidRPr="00124909">
              <w:rPr>
                <w:b/>
                <w:bCs/>
                <w:sz w:val="18"/>
                <w:szCs w:val="18"/>
              </w:rPr>
              <w:t>Εποπτική Αρχή:</w:t>
            </w:r>
          </w:p>
        </w:tc>
        <w:tc>
          <w:tcPr>
            <w:tcW w:w="9255" w:type="dxa"/>
            <w:tcBorders>
              <w:top w:val="nil"/>
              <w:left w:val="nil"/>
              <w:bottom w:val="nil"/>
              <w:right w:val="nil"/>
            </w:tcBorders>
          </w:tcPr>
          <w:p w14:paraId="080EB297" w14:textId="32D09122" w:rsidR="00866DC4" w:rsidRPr="00124909" w:rsidRDefault="001A73F8">
            <w:pPr>
              <w:rPr>
                <w:sz w:val="18"/>
                <w:szCs w:val="18"/>
              </w:rPr>
            </w:pPr>
            <w:r w:rsidRPr="00124909">
              <w:rPr>
                <w:sz w:val="18"/>
                <w:szCs w:val="18"/>
              </w:rPr>
              <w:t>Επιτροπή Κεφαλαιαγοράς</w:t>
            </w:r>
            <w:r w:rsidR="00F1586C">
              <w:rPr>
                <w:sz w:val="18"/>
                <w:szCs w:val="18"/>
              </w:rPr>
              <w:t xml:space="preserve"> της Ελλάδας</w:t>
            </w:r>
          </w:p>
        </w:tc>
      </w:tr>
      <w:tr w:rsidR="00091937" w14:paraId="606EDC80" w14:textId="77777777" w:rsidTr="00A640EA">
        <w:trPr>
          <w:trHeight w:val="215"/>
        </w:trPr>
        <w:tc>
          <w:tcPr>
            <w:tcW w:w="11341" w:type="dxa"/>
            <w:gridSpan w:val="2"/>
            <w:tcBorders>
              <w:top w:val="nil"/>
              <w:left w:val="nil"/>
              <w:bottom w:val="nil"/>
              <w:right w:val="nil"/>
            </w:tcBorders>
          </w:tcPr>
          <w:p w14:paraId="635C211A" w14:textId="54A23E2D" w:rsidR="00091937" w:rsidRPr="00F1586C" w:rsidRDefault="00A56C81" w:rsidP="00091937">
            <w:pPr>
              <w:jc w:val="both"/>
              <w:rPr>
                <w:sz w:val="18"/>
                <w:szCs w:val="18"/>
              </w:rPr>
            </w:pPr>
            <w:r>
              <w:t xml:space="preserve"> </w:t>
            </w:r>
            <w:r w:rsidRPr="00A56C81">
              <w:rPr>
                <w:sz w:val="18"/>
                <w:szCs w:val="18"/>
              </w:rPr>
              <w:t>Η Επιτροπή Κεφαλαιαγοράς της Ελλάδας είναι υπεύθυνη για την εποπτεία της Εταιρείας σε σχέση με το παρόν έγγραφο βασικών πληροφοριών. Το Αμοιβαίο Κεφάλαιο έχει λάβει άδεια στην Ελλάδα. Η Εταιρεία έχει λάβει άδεια στην Ελλάδα και υπόκειται σε έλεγχο από την Επιτροπή Κεφαλαιαγοράς της Ελλάδας.</w:t>
            </w:r>
          </w:p>
        </w:tc>
      </w:tr>
      <w:tr w:rsidR="00091937" w14:paraId="0B6BEAAF" w14:textId="77777777" w:rsidTr="00B32846">
        <w:trPr>
          <w:trHeight w:val="215"/>
        </w:trPr>
        <w:tc>
          <w:tcPr>
            <w:tcW w:w="11341" w:type="dxa"/>
            <w:gridSpan w:val="2"/>
            <w:tcBorders>
              <w:top w:val="nil"/>
              <w:left w:val="nil"/>
              <w:bottom w:val="nil"/>
              <w:right w:val="nil"/>
            </w:tcBorders>
          </w:tcPr>
          <w:p w14:paraId="12E8E37D" w14:textId="3B98EF34" w:rsidR="00091937" w:rsidRPr="00382CE0" w:rsidRDefault="00091937" w:rsidP="00091937">
            <w:pPr>
              <w:jc w:val="both"/>
              <w:rPr>
                <w:sz w:val="18"/>
                <w:szCs w:val="18"/>
              </w:rPr>
            </w:pPr>
            <w:r w:rsidRPr="00D54F3C">
              <w:rPr>
                <w:sz w:val="18"/>
                <w:szCs w:val="18"/>
              </w:rPr>
              <w:t xml:space="preserve">Για οποιαδήποτε πληροφορία, ερώτημα ή σχόλιο σχετικά με το Αμοιβαίο Κεφάλαιο, μπορείτε να καλέσετε στο </w:t>
            </w:r>
            <w:r w:rsidRPr="00D54F3C">
              <w:rPr>
                <w:rFonts w:ascii="Calibri" w:eastAsia="Calibri" w:hAnsi="Calibri" w:cs="Times New Roman"/>
                <w:color w:val="000000"/>
                <w:sz w:val="18"/>
                <w:szCs w:val="18"/>
              </w:rPr>
              <w:t xml:space="preserve">+30 210 3266505 </w:t>
            </w:r>
            <w:r w:rsidRPr="00D54F3C">
              <w:rPr>
                <w:sz w:val="18"/>
                <w:szCs w:val="18"/>
              </w:rPr>
              <w:t xml:space="preserve">ή να επισκεφθείτε την ιστοσελίδα </w:t>
            </w:r>
            <w:hyperlink r:id="rId12" w:history="1">
              <w:r w:rsidRPr="00D54F3C">
                <w:rPr>
                  <w:rStyle w:val="Hyperlink"/>
                  <w:sz w:val="18"/>
                  <w:szCs w:val="18"/>
                </w:rPr>
                <w:t>www.alphamutual.gr</w:t>
              </w:r>
            </w:hyperlink>
            <w:r w:rsidRPr="00D54F3C">
              <w:rPr>
                <w:sz w:val="18"/>
                <w:szCs w:val="18"/>
              </w:rPr>
              <w:t xml:space="preserve">. Οι πληροφορίες που παρέχονται στο παρόν έγγραφο είναι ακριβείς κατά την </w:t>
            </w:r>
            <w:r w:rsidR="00D752EF" w:rsidRPr="00D752EF">
              <w:rPr>
                <w:sz w:val="18"/>
                <w:szCs w:val="18"/>
                <w:lang w:val="en-US"/>
              </w:rPr>
              <w:t>30/01/2026.</w:t>
            </w:r>
          </w:p>
        </w:tc>
      </w:tr>
      <w:tr w:rsidR="00EA0168" w14:paraId="7FBC78BA" w14:textId="77777777" w:rsidTr="00B32846">
        <w:trPr>
          <w:trHeight w:val="20"/>
        </w:trPr>
        <w:tc>
          <w:tcPr>
            <w:tcW w:w="11341" w:type="dxa"/>
            <w:gridSpan w:val="2"/>
            <w:tcBorders>
              <w:top w:val="nil"/>
              <w:left w:val="nil"/>
              <w:bottom w:val="nil"/>
              <w:right w:val="nil"/>
            </w:tcBorders>
          </w:tcPr>
          <w:p w14:paraId="4F2692C0" w14:textId="77777777" w:rsidR="00803E87" w:rsidRPr="00803E87" w:rsidRDefault="00803E87" w:rsidP="007A2881">
            <w:pPr>
              <w:jc w:val="both"/>
              <w:rPr>
                <w:b/>
                <w:bCs/>
                <w:color w:val="1F497D"/>
                <w:sz w:val="16"/>
                <w:szCs w:val="16"/>
              </w:rPr>
            </w:pPr>
          </w:p>
          <w:p w14:paraId="2154D9F8" w14:textId="3A11924E" w:rsidR="00EA0168" w:rsidRPr="00B32846" w:rsidRDefault="00376E2D" w:rsidP="007A2881">
            <w:pPr>
              <w:jc w:val="both"/>
              <w:rPr>
                <w:b/>
                <w:bCs/>
                <w:color w:val="1F497D"/>
              </w:rPr>
            </w:pPr>
            <w:r w:rsidRPr="00B32846">
              <w:rPr>
                <w:b/>
                <w:bCs/>
                <w:color w:val="1F497D"/>
              </w:rPr>
              <w:t>Τι είναι αυτό το προϊόν</w:t>
            </w:r>
            <w:r w:rsidR="00BE053C" w:rsidRPr="00B32846">
              <w:rPr>
                <w:b/>
                <w:bCs/>
                <w:color w:val="1F497D"/>
              </w:rPr>
              <w:t>;</w:t>
            </w:r>
          </w:p>
          <w:p w14:paraId="710C7E77" w14:textId="77777777" w:rsidR="00360101" w:rsidRPr="00954F81" w:rsidRDefault="00360101" w:rsidP="002876E5">
            <w:pPr>
              <w:jc w:val="both"/>
              <w:rPr>
                <w:b/>
                <w:bCs/>
                <w:sz w:val="20"/>
                <w:szCs w:val="20"/>
              </w:rPr>
            </w:pPr>
            <w:r w:rsidRPr="00954F81">
              <w:rPr>
                <w:b/>
                <w:bCs/>
                <w:sz w:val="20"/>
                <w:szCs w:val="20"/>
              </w:rPr>
              <w:t>Τύπος</w:t>
            </w:r>
          </w:p>
          <w:p w14:paraId="5C7ECFDB" w14:textId="6F38370F" w:rsidR="00091937" w:rsidRPr="00F44448" w:rsidRDefault="00091937" w:rsidP="00091937">
            <w:pPr>
              <w:jc w:val="both"/>
              <w:rPr>
                <w:sz w:val="18"/>
                <w:szCs w:val="18"/>
              </w:rPr>
            </w:pPr>
            <w:r w:rsidRPr="00D54F3C">
              <w:rPr>
                <w:sz w:val="18"/>
                <w:szCs w:val="18"/>
              </w:rPr>
              <w:t>Το Αμοιβαίο Κεφάλαιο είναι μορφή οργανισμού συλλογικών επενδύσεων σε κινητές αξίες (</w:t>
            </w:r>
            <w:r w:rsidRPr="00FD1357">
              <w:rPr>
                <w:sz w:val="18"/>
                <w:szCs w:val="18"/>
              </w:rPr>
              <w:t>«</w:t>
            </w:r>
            <w:r w:rsidRPr="00D54F3C">
              <w:rPr>
                <w:sz w:val="18"/>
                <w:szCs w:val="18"/>
              </w:rPr>
              <w:t>ΟΣΕΚΑ</w:t>
            </w:r>
            <w:r w:rsidRPr="00FD1357">
              <w:rPr>
                <w:sz w:val="18"/>
                <w:szCs w:val="18"/>
              </w:rPr>
              <w:t>»</w:t>
            </w:r>
            <w:r w:rsidRPr="00D54F3C">
              <w:rPr>
                <w:sz w:val="18"/>
                <w:szCs w:val="18"/>
              </w:rPr>
              <w:t>), όπως ορίζεται από τις διατάξεις του νόμου 4099/2012 και της Οδηγίας 2009/65/ΕΚ</w:t>
            </w:r>
            <w:r>
              <w:rPr>
                <w:sz w:val="18"/>
                <w:szCs w:val="18"/>
              </w:rPr>
              <w:t xml:space="preserve"> ως ισχύουν</w:t>
            </w:r>
            <w:r w:rsidRPr="00D54F3C">
              <w:rPr>
                <w:sz w:val="18"/>
                <w:szCs w:val="18"/>
              </w:rPr>
              <w:t>.</w:t>
            </w:r>
            <w:r>
              <w:rPr>
                <w:sz w:val="18"/>
                <w:szCs w:val="18"/>
              </w:rPr>
              <w:t xml:space="preserve"> Δ</w:t>
            </w:r>
            <w:r w:rsidRPr="00D54F3C">
              <w:rPr>
                <w:sz w:val="18"/>
                <w:szCs w:val="18"/>
              </w:rPr>
              <w:t xml:space="preserve">εν έχει νομική προσωπικότητα, συνιστά ομάδα περιουσίας που αποτελείται από κινητές αξίες, μέσα χρηματαγοράς και μετρητά, της οποίας τα επί μέρους στοιχεία ανήκουν εξ αδιαιρέτου </w:t>
            </w:r>
            <w:r w:rsidRPr="00FD1357">
              <w:rPr>
                <w:sz w:val="18"/>
                <w:szCs w:val="18"/>
              </w:rPr>
              <w:t xml:space="preserve">σε περισσότερους του ενός μεριδιούχους </w:t>
            </w:r>
            <w:r w:rsidRPr="00D54F3C">
              <w:rPr>
                <w:sz w:val="18"/>
                <w:szCs w:val="18"/>
              </w:rPr>
              <w:t>, ανάλογα με τον αριθμό των μεριδίων που κατέχουν</w:t>
            </w:r>
            <w:r>
              <w:rPr>
                <w:sz w:val="18"/>
                <w:szCs w:val="18"/>
              </w:rPr>
              <w:t>,</w:t>
            </w:r>
            <w:r w:rsidRPr="00D54F3C">
              <w:rPr>
                <w:sz w:val="18"/>
                <w:szCs w:val="18"/>
              </w:rPr>
              <w:t xml:space="preserve"> τελεί υπό τη διαχείριση της Εταιρείας</w:t>
            </w:r>
            <w:r>
              <w:rPr>
                <w:sz w:val="18"/>
                <w:szCs w:val="18"/>
              </w:rPr>
              <w:t xml:space="preserve"> </w:t>
            </w:r>
            <w:r w:rsidRPr="00FD1357">
              <w:rPr>
                <w:sz w:val="18"/>
                <w:szCs w:val="18"/>
              </w:rPr>
              <w:t>από την οποία εκπροσωπούνται δικαστικώς και εξωδίκως οι μεριδιούχοι του, ως προς τις έννομες σχέσεις από τη διαχείριση του και τα δικαιώματα τους επί του ενεργητικού του</w:t>
            </w:r>
            <w:r w:rsidRPr="00D54F3C">
              <w:rPr>
                <w:sz w:val="18"/>
                <w:szCs w:val="18"/>
              </w:rPr>
              <w:t>.</w:t>
            </w:r>
          </w:p>
          <w:p w14:paraId="692ACC81" w14:textId="77777777" w:rsidR="004244DB" w:rsidRPr="00382CE0" w:rsidRDefault="004244DB" w:rsidP="004244DB">
            <w:pPr>
              <w:spacing w:line="72" w:lineRule="auto"/>
              <w:jc w:val="both"/>
              <w:rPr>
                <w:sz w:val="10"/>
                <w:szCs w:val="10"/>
              </w:rPr>
            </w:pPr>
          </w:p>
          <w:p w14:paraId="74908ACD" w14:textId="4F52ACDB" w:rsidR="00645A1F" w:rsidRPr="00382CE0" w:rsidRDefault="00645A1F" w:rsidP="002876E5">
            <w:pPr>
              <w:jc w:val="both"/>
              <w:rPr>
                <w:b/>
                <w:bCs/>
                <w:sz w:val="20"/>
                <w:szCs w:val="20"/>
              </w:rPr>
            </w:pPr>
            <w:r w:rsidRPr="00382CE0">
              <w:rPr>
                <w:b/>
                <w:bCs/>
                <w:sz w:val="20"/>
                <w:szCs w:val="20"/>
              </w:rPr>
              <w:t>Διάρκεια</w:t>
            </w:r>
          </w:p>
          <w:p w14:paraId="11F29936" w14:textId="1ACF115C" w:rsidR="00771FFA" w:rsidRDefault="00074333" w:rsidP="00F96A25">
            <w:pPr>
              <w:jc w:val="both"/>
              <w:rPr>
                <w:sz w:val="18"/>
                <w:szCs w:val="18"/>
              </w:rPr>
            </w:pPr>
            <w:r w:rsidRPr="00382CE0">
              <w:rPr>
                <w:sz w:val="18"/>
                <w:szCs w:val="18"/>
              </w:rPr>
              <w:t>Το Αμοιβαίο Κεφάλαιο είναι αορίστου διάρκειας</w:t>
            </w:r>
            <w:r w:rsidR="00F96A25">
              <w:rPr>
                <w:sz w:val="18"/>
                <w:szCs w:val="18"/>
              </w:rPr>
              <w:t xml:space="preserve"> </w:t>
            </w:r>
            <w:r w:rsidR="00F96A25" w:rsidRPr="00F96A25">
              <w:rPr>
                <w:sz w:val="18"/>
                <w:szCs w:val="18"/>
              </w:rPr>
              <w:t>και λύεται σε περίπτωση που πληρείται οποιαδήποτε από τις αναφερόμενες στο άρθρο 9 παρ. 1 του ν. 4099/2012 προϋποθέσεις και σύμφωνα με το άρθρο 11 του Κανονισμού του Αμοιβαίου Κεφαλαίου.</w:t>
            </w:r>
          </w:p>
          <w:p w14:paraId="14D9B464" w14:textId="77777777" w:rsidR="00091937" w:rsidRPr="00F96A25" w:rsidRDefault="00091937" w:rsidP="00091937">
            <w:pPr>
              <w:spacing w:line="72" w:lineRule="auto"/>
              <w:jc w:val="both"/>
              <w:rPr>
                <w:sz w:val="18"/>
                <w:szCs w:val="18"/>
              </w:rPr>
            </w:pPr>
          </w:p>
          <w:p w14:paraId="27584060" w14:textId="77777777" w:rsidR="00645A1F" w:rsidRPr="00954F81" w:rsidRDefault="00645A1F" w:rsidP="002876E5">
            <w:pPr>
              <w:jc w:val="both"/>
              <w:rPr>
                <w:b/>
                <w:bCs/>
                <w:sz w:val="20"/>
                <w:szCs w:val="20"/>
              </w:rPr>
            </w:pPr>
            <w:r w:rsidRPr="00954F81">
              <w:rPr>
                <w:b/>
                <w:bCs/>
                <w:sz w:val="20"/>
                <w:szCs w:val="20"/>
              </w:rPr>
              <w:t>Στόχοι</w:t>
            </w:r>
          </w:p>
          <w:p w14:paraId="3408239E" w14:textId="2EE0A48B" w:rsidR="000D2168" w:rsidRPr="0074147F" w:rsidRDefault="000D2168" w:rsidP="000D2168">
            <w:pPr>
              <w:jc w:val="both"/>
              <w:rPr>
                <w:sz w:val="18"/>
                <w:szCs w:val="18"/>
              </w:rPr>
            </w:pPr>
            <w:r w:rsidRPr="000D2168">
              <w:rPr>
                <w:sz w:val="18"/>
                <w:szCs w:val="18"/>
              </w:rPr>
              <w:t>Σ</w:t>
            </w:r>
            <w:r w:rsidR="009B51F1">
              <w:rPr>
                <w:sz w:val="18"/>
                <w:szCs w:val="18"/>
              </w:rPr>
              <w:t>τόχο</w:t>
            </w:r>
            <w:r w:rsidRPr="000D2168">
              <w:rPr>
                <w:sz w:val="18"/>
                <w:szCs w:val="18"/>
              </w:rPr>
              <w:t xml:space="preserve">ς του Αμοιβαίου Κεφαλαίου είναι να προσφέρει στο μεριδιούχο κέρδη από την υπεραξία των τίτλων και τις μερισματικές αποδόσεις τους. Επενδύει κυρίως σε μερίδια Οργανισμών Συλλογικών Επενδύσεων σε Κινητές Αξίες (ΟΣΕΚΑ) ή μερίδια άλλων οργανισμών συλλογικών επενδύσεων, οι οποίοι επενδύουν σε μετοχές ασιατικών κεφαλαιαγορών εκτός Ιαπωνίας. Η επενδυτική προσέγγισή του εστιάζει στη στενή παρακολούθηση των αγορών με στόχο τον εντοπισμό ενός εύρους επενδυτικών επιλογών, το οποίο προσθέτει αξία, προσφέρει επαρκή διασπορά και περιορίζει το κίνδυνο. Η διαχείριση του χαρτοφυλακίου του Αμοιβαίου Κεφαλαίου βασίζεται στην αξιολόγηση μιας σειράς ποσοτικών και ποιοτικών κριτηρίων, με σκοπό την επιλογή μεμονωμένων ΟΣΕΚΑ. Τα κριτήρια αυτά αξιολογούν παραμέτρους όπως ιστορικές αποδόσεις, μεταβλητότητα, σταθερότητα υπεραποδόσεων, συμπεριφορά σε διαφορετικά περιβάλλοντα, δομή και σύνθεση διαχειριστικής ομάδας, επενδυτική στρατηγική και διαδικασίες, πολιτική διαχείρισης κινδύνων, κ.λπ. </w:t>
            </w:r>
            <w:r w:rsidR="000A6BB5" w:rsidRPr="000D2168">
              <w:rPr>
                <w:sz w:val="18"/>
                <w:szCs w:val="18"/>
              </w:rPr>
              <w:t xml:space="preserve">Το Αμοιβαίο Κεφάλαιο μπορεί να χρησιμοποιεί παράγωγα χρηματοπιστωτικά μέσα, με σκοπό την επίτευξη του επενδυτικού του σκοπού ή/και την αντιστάθμιση κινδύνων. Η χρήση παραγώγων ενδέχεται να επηρεάσει, θετικά ή αρνητικά, την απόδοση του. </w:t>
            </w:r>
          </w:p>
          <w:p w14:paraId="463604BC" w14:textId="2F35D6BC" w:rsidR="00AD7C8D" w:rsidRPr="00AD7C8D" w:rsidRDefault="00AD7C8D" w:rsidP="000D2168">
            <w:pPr>
              <w:jc w:val="both"/>
              <w:rPr>
                <w:sz w:val="18"/>
                <w:szCs w:val="18"/>
              </w:rPr>
            </w:pPr>
            <w:r w:rsidRPr="00AD7C8D">
              <w:rPr>
                <w:sz w:val="18"/>
                <w:szCs w:val="18"/>
              </w:rPr>
              <w:t>Με σκοπό την προστασία των συμφερόντων των υφιστάμενων μεριδιούχων, η Εταιρεία δύναται να ενεργοποιήσει τον μηχανισμό εισφορών για την αποτροπή της απομείωσης της αξίας του ενεργητικού του Αμοιβαίου Κεφαλαίου (</w:t>
            </w:r>
            <w:r w:rsidRPr="00AD7C8D">
              <w:rPr>
                <w:sz w:val="18"/>
                <w:szCs w:val="18"/>
                <w:lang w:val="en-US"/>
              </w:rPr>
              <w:t>anti</w:t>
            </w:r>
            <w:r w:rsidRPr="00AD7C8D">
              <w:rPr>
                <w:sz w:val="18"/>
                <w:szCs w:val="18"/>
              </w:rPr>
              <w:t>-</w:t>
            </w:r>
            <w:r w:rsidRPr="00AD7C8D">
              <w:rPr>
                <w:sz w:val="18"/>
                <w:szCs w:val="18"/>
                <w:lang w:val="en-US"/>
              </w:rPr>
              <w:t>dilution</w:t>
            </w:r>
            <w:r w:rsidRPr="00AD7C8D">
              <w:rPr>
                <w:sz w:val="18"/>
                <w:szCs w:val="18"/>
              </w:rPr>
              <w:t xml:space="preserve"> </w:t>
            </w:r>
            <w:r w:rsidRPr="00AD7C8D">
              <w:rPr>
                <w:sz w:val="18"/>
                <w:szCs w:val="18"/>
                <w:lang w:val="en-US"/>
              </w:rPr>
              <w:t>levies</w:t>
            </w:r>
            <w:r w:rsidRPr="00AD7C8D">
              <w:rPr>
                <w:sz w:val="18"/>
                <w:szCs w:val="18"/>
              </w:rPr>
              <w:t xml:space="preserve"> – </w:t>
            </w:r>
            <w:r w:rsidRPr="00AD7C8D">
              <w:rPr>
                <w:sz w:val="18"/>
                <w:szCs w:val="18"/>
                <w:lang w:val="en-US"/>
              </w:rPr>
              <w:t>ADLs</w:t>
            </w:r>
            <w:r w:rsidRPr="00AD7C8D">
              <w:rPr>
                <w:sz w:val="18"/>
                <w:szCs w:val="18"/>
              </w:rPr>
              <w:t>), με το μέγιστο ποσοστό της επιπλέον εισφοράς να ανέρχεται σε 0,5%. Το ημερήσιο όριο του ποσού των αιτουμένων συμμετοχών/εξαγορών, πάνω από το οποίο ενεργοποιείται ο εν λόγω μηχανισμός είναι 5%.</w:t>
            </w:r>
          </w:p>
          <w:p w14:paraId="374B22BD" w14:textId="0C599347" w:rsidR="000D2168" w:rsidRPr="000D2168" w:rsidRDefault="000D2168" w:rsidP="000D2168">
            <w:pPr>
              <w:jc w:val="both"/>
              <w:rPr>
                <w:sz w:val="18"/>
                <w:szCs w:val="18"/>
              </w:rPr>
            </w:pPr>
            <w:r w:rsidRPr="001874C0">
              <w:rPr>
                <w:sz w:val="18"/>
                <w:szCs w:val="18"/>
                <w:u w:val="single"/>
              </w:rPr>
              <w:t>Δείκτης</w:t>
            </w:r>
            <w:r w:rsidRPr="00147B67">
              <w:rPr>
                <w:sz w:val="18"/>
                <w:szCs w:val="18"/>
                <w:u w:val="single"/>
                <w:lang w:val="en-US"/>
              </w:rPr>
              <w:t xml:space="preserve"> </w:t>
            </w:r>
            <w:r w:rsidRPr="001874C0">
              <w:rPr>
                <w:sz w:val="18"/>
                <w:szCs w:val="18"/>
                <w:u w:val="single"/>
              </w:rPr>
              <w:t>Αναφοράς</w:t>
            </w:r>
            <w:r w:rsidRPr="00147B67">
              <w:rPr>
                <w:sz w:val="18"/>
                <w:szCs w:val="18"/>
                <w:u w:val="single"/>
                <w:lang w:val="en-US"/>
              </w:rPr>
              <w:t>:</w:t>
            </w:r>
            <w:r w:rsidRPr="00147B67">
              <w:rPr>
                <w:sz w:val="18"/>
                <w:szCs w:val="18"/>
                <w:lang w:val="en-US"/>
              </w:rPr>
              <w:t xml:space="preserve"> </w:t>
            </w:r>
            <w:r w:rsidR="00147B67" w:rsidRPr="00147B67">
              <w:rPr>
                <w:sz w:val="18"/>
                <w:szCs w:val="18"/>
                <w:lang w:val="en-US"/>
              </w:rPr>
              <w:t>MSCI AC Asia ex Japan Price Return USD Index (Bloomberg Ticker: MXASJ Index)</w:t>
            </w:r>
            <w:r w:rsidR="00147B67">
              <w:rPr>
                <w:sz w:val="18"/>
                <w:szCs w:val="18"/>
                <w:lang w:val="en-US"/>
              </w:rPr>
              <w:t xml:space="preserve">. </w:t>
            </w:r>
            <w:r w:rsidRPr="000D2168">
              <w:rPr>
                <w:sz w:val="18"/>
                <w:szCs w:val="18"/>
              </w:rPr>
              <w:t xml:space="preserve">Η διαχείριση του Αμοιβαίου Κεφαλαίου είναι ενεργητική στο πλαίσιο της επενδυτικής του πολιτικής και δεν περιορίζεται από τη σύνθεση του δείκτη αναφοράς του, ο οποίος χρησιμοποιείται μόνο για λόγους σύγκρισης αποδόσεων. Συνεπώς, η σύνθεση του χαρτοφυλακίου και η απόδοση του Αμοιβαίου Κεφαλαίου ενδέχεται να αποκλίνουν σημαντικά από τη σύνθεση και την απόδοση του δείκτη αναφοράς του. </w:t>
            </w:r>
          </w:p>
          <w:p w14:paraId="58808B4B" w14:textId="4C867C26" w:rsidR="000D2168" w:rsidRDefault="000D2168" w:rsidP="000D2168">
            <w:pPr>
              <w:jc w:val="both"/>
              <w:rPr>
                <w:sz w:val="18"/>
                <w:szCs w:val="18"/>
              </w:rPr>
            </w:pPr>
            <w:r w:rsidRPr="000D2168">
              <w:rPr>
                <w:sz w:val="18"/>
                <w:szCs w:val="18"/>
              </w:rPr>
              <w:t>Τα κέρδη και οι πρόσοδοι του Αμοιβαίου Κεφαλαίου</w:t>
            </w:r>
            <w:r w:rsidR="00B502D2">
              <w:rPr>
                <w:sz w:val="18"/>
                <w:szCs w:val="18"/>
              </w:rPr>
              <w:t xml:space="preserve"> δύνα</w:t>
            </w:r>
            <w:r w:rsidR="00100EAC">
              <w:rPr>
                <w:sz w:val="18"/>
                <w:szCs w:val="18"/>
              </w:rPr>
              <w:t>ν</w:t>
            </w:r>
            <w:r w:rsidR="00B502D2">
              <w:rPr>
                <w:sz w:val="18"/>
                <w:szCs w:val="18"/>
              </w:rPr>
              <w:t>ται να</w:t>
            </w:r>
            <w:r w:rsidRPr="000D2168">
              <w:rPr>
                <w:sz w:val="18"/>
                <w:szCs w:val="18"/>
              </w:rPr>
              <w:t xml:space="preserve"> επανεπενδύονται. </w:t>
            </w:r>
          </w:p>
          <w:p w14:paraId="6BA29A7F" w14:textId="47068F72" w:rsidR="00D77F69" w:rsidRPr="000D2168" w:rsidRDefault="00D77F69" w:rsidP="000D2168">
            <w:pPr>
              <w:jc w:val="both"/>
              <w:rPr>
                <w:sz w:val="18"/>
                <w:szCs w:val="18"/>
              </w:rPr>
            </w:pPr>
            <w:r w:rsidRPr="008E763C">
              <w:rPr>
                <w:sz w:val="18"/>
                <w:szCs w:val="18"/>
              </w:rPr>
              <w:t>Νόμισμα αναφοράς του Αμοιβαίου Κεφαλαίου: EUR.</w:t>
            </w:r>
          </w:p>
          <w:p w14:paraId="2857E914" w14:textId="11258E35" w:rsidR="000D2168" w:rsidRDefault="000D2168" w:rsidP="000D2168">
            <w:pPr>
              <w:jc w:val="both"/>
              <w:rPr>
                <w:sz w:val="18"/>
                <w:szCs w:val="18"/>
              </w:rPr>
            </w:pPr>
            <w:r w:rsidRPr="000D2168">
              <w:rPr>
                <w:sz w:val="18"/>
                <w:szCs w:val="18"/>
              </w:rPr>
              <w:t>Ο επενδυτής μπορεί να ζητήσει τη συμμετοχή στο Αμοιβαίο Κεφάλαιο και την εξαγορά των μεριδίων του, κάθε εργάσιμη ημέρα</w:t>
            </w:r>
            <w:r w:rsidR="00F1586C">
              <w:rPr>
                <w:sz w:val="18"/>
                <w:szCs w:val="18"/>
              </w:rPr>
              <w:t xml:space="preserve"> στην Ελλάδα</w:t>
            </w:r>
            <w:r w:rsidRPr="000D2168">
              <w:rPr>
                <w:sz w:val="18"/>
                <w:szCs w:val="18"/>
              </w:rPr>
              <w:t xml:space="preserve"> και σύμφωνα με το εκάστοτε ισχύον ωράριο</w:t>
            </w:r>
            <w:r w:rsidR="00845C38">
              <w:t xml:space="preserve"> </w:t>
            </w:r>
            <w:r w:rsidR="00845C38" w:rsidRPr="00845C38">
              <w:rPr>
                <w:sz w:val="18"/>
                <w:szCs w:val="18"/>
              </w:rPr>
              <w:t>του Δικτύου Καταστημάτων της Alpha Bank</w:t>
            </w:r>
            <w:r w:rsidRPr="000D2168">
              <w:rPr>
                <w:sz w:val="18"/>
                <w:szCs w:val="18"/>
              </w:rPr>
              <w:t>, εκτός και αν υπάρχει σχετική απόφαση της Επιτροπής Κεφαλαιαγοράς περί αναστολής εξαγορών.</w:t>
            </w:r>
          </w:p>
          <w:p w14:paraId="697FF22C" w14:textId="51B4FDE4" w:rsidR="000A5C0F" w:rsidRPr="000A5C0F" w:rsidRDefault="000A5C0F" w:rsidP="000D2168">
            <w:pPr>
              <w:jc w:val="both"/>
              <w:rPr>
                <w:color w:val="000000" w:themeColor="text1"/>
                <w:sz w:val="18"/>
                <w:szCs w:val="18"/>
              </w:rPr>
            </w:pPr>
            <w:r w:rsidRPr="000A5C0F">
              <w:rPr>
                <w:color w:val="000000" w:themeColor="text1"/>
                <w:sz w:val="18"/>
                <w:szCs w:val="18"/>
              </w:rPr>
              <w:t>Το Αμοιβαίο Κεφάλαιο «</w:t>
            </w:r>
            <w:r w:rsidRPr="000A5C0F">
              <w:rPr>
                <w:color w:val="000000" w:themeColor="text1"/>
                <w:sz w:val="18"/>
                <w:szCs w:val="18"/>
                <w:lang w:val="en-US"/>
              </w:rPr>
              <w:t>ALPHA</w:t>
            </w:r>
            <w:r w:rsidRPr="000A5C0F">
              <w:rPr>
                <w:color w:val="000000" w:themeColor="text1"/>
                <w:sz w:val="18"/>
                <w:szCs w:val="18"/>
              </w:rPr>
              <w:t xml:space="preserve"> </w:t>
            </w:r>
            <w:r w:rsidRPr="000A5C0F">
              <w:rPr>
                <w:color w:val="000000" w:themeColor="text1"/>
                <w:sz w:val="18"/>
                <w:szCs w:val="18"/>
                <w:lang w:val="en-US"/>
              </w:rPr>
              <w:t>FUND</w:t>
            </w:r>
            <w:r w:rsidRPr="000A5C0F">
              <w:rPr>
                <w:color w:val="000000" w:themeColor="text1"/>
                <w:sz w:val="18"/>
                <w:szCs w:val="18"/>
              </w:rPr>
              <w:t xml:space="preserve"> </w:t>
            </w:r>
            <w:r w:rsidRPr="000A5C0F">
              <w:rPr>
                <w:color w:val="000000" w:themeColor="text1"/>
                <w:sz w:val="18"/>
                <w:szCs w:val="18"/>
                <w:lang w:val="en-US"/>
              </w:rPr>
              <w:t>OF</w:t>
            </w:r>
            <w:r w:rsidRPr="000A5C0F">
              <w:rPr>
                <w:color w:val="000000" w:themeColor="text1"/>
                <w:sz w:val="18"/>
                <w:szCs w:val="18"/>
              </w:rPr>
              <w:t xml:space="preserve"> </w:t>
            </w:r>
            <w:r w:rsidRPr="000A5C0F">
              <w:rPr>
                <w:color w:val="000000" w:themeColor="text1"/>
                <w:sz w:val="18"/>
                <w:szCs w:val="18"/>
                <w:lang w:val="en-US"/>
              </w:rPr>
              <w:t>FUNDS</w:t>
            </w:r>
            <w:r w:rsidRPr="000A5C0F">
              <w:rPr>
                <w:color w:val="000000" w:themeColor="text1"/>
                <w:sz w:val="18"/>
                <w:szCs w:val="18"/>
              </w:rPr>
              <w:t xml:space="preserve"> </w:t>
            </w:r>
            <w:r w:rsidRPr="000A5C0F">
              <w:rPr>
                <w:color w:val="000000" w:themeColor="text1"/>
                <w:sz w:val="18"/>
                <w:szCs w:val="18"/>
                <w:lang w:val="en-US"/>
              </w:rPr>
              <w:t>COSMOS</w:t>
            </w:r>
            <w:r w:rsidRPr="000A5C0F">
              <w:rPr>
                <w:color w:val="000000" w:themeColor="text1"/>
                <w:sz w:val="18"/>
                <w:szCs w:val="18"/>
              </w:rPr>
              <w:t xml:space="preserve"> </w:t>
            </w:r>
            <w:r w:rsidRPr="000A5C0F">
              <w:rPr>
                <w:color w:val="000000" w:themeColor="text1"/>
                <w:sz w:val="18"/>
                <w:szCs w:val="18"/>
                <w:lang w:val="en-US"/>
              </w:rPr>
              <w:t>STARS</w:t>
            </w:r>
            <w:r w:rsidRPr="000A5C0F">
              <w:rPr>
                <w:color w:val="000000" w:themeColor="text1"/>
                <w:sz w:val="18"/>
                <w:szCs w:val="18"/>
              </w:rPr>
              <w:t xml:space="preserve"> </w:t>
            </w:r>
            <w:r w:rsidRPr="000A5C0F">
              <w:rPr>
                <w:color w:val="000000" w:themeColor="text1"/>
                <w:sz w:val="18"/>
                <w:szCs w:val="18"/>
                <w:lang w:val="en-US"/>
              </w:rPr>
              <w:t>SILK</w:t>
            </w:r>
            <w:r w:rsidRPr="000A5C0F">
              <w:rPr>
                <w:color w:val="000000" w:themeColor="text1"/>
                <w:sz w:val="18"/>
                <w:szCs w:val="18"/>
              </w:rPr>
              <w:t xml:space="preserve"> </w:t>
            </w:r>
            <w:r w:rsidRPr="000A5C0F">
              <w:rPr>
                <w:color w:val="000000" w:themeColor="text1"/>
                <w:sz w:val="18"/>
                <w:szCs w:val="18"/>
                <w:lang w:val="en-US"/>
              </w:rPr>
              <w:t>ROUTE</w:t>
            </w:r>
            <w:r w:rsidRPr="000A5C0F">
              <w:rPr>
                <w:color w:val="000000" w:themeColor="text1"/>
                <w:sz w:val="18"/>
                <w:szCs w:val="18"/>
              </w:rPr>
              <w:t xml:space="preserve"> </w:t>
            </w:r>
            <w:r w:rsidRPr="000A5C0F">
              <w:rPr>
                <w:color w:val="000000" w:themeColor="text1"/>
                <w:sz w:val="18"/>
                <w:szCs w:val="18"/>
                <w:lang w:val="en-US"/>
              </w:rPr>
              <w:t>ASIA</w:t>
            </w:r>
            <w:r w:rsidRPr="000A5C0F">
              <w:rPr>
                <w:color w:val="000000" w:themeColor="text1"/>
                <w:sz w:val="18"/>
                <w:szCs w:val="18"/>
              </w:rPr>
              <w:t xml:space="preserve"> ΜΕΤΟΧΙΚΟ» συνδέεται ουσιωδώς με τον κίνδυνο αγοράς που προκύπτει από τ</w:t>
            </w:r>
            <w:r w:rsidR="004C3B15">
              <w:rPr>
                <w:color w:val="000000" w:themeColor="text1"/>
                <w:sz w:val="18"/>
                <w:szCs w:val="18"/>
              </w:rPr>
              <w:t>ις</w:t>
            </w:r>
            <w:r w:rsidRPr="000A5C0F">
              <w:rPr>
                <w:color w:val="000000" w:themeColor="text1"/>
                <w:sz w:val="18"/>
                <w:szCs w:val="18"/>
              </w:rPr>
              <w:t xml:space="preserve"> διακ</w:t>
            </w:r>
            <w:r w:rsidR="00D77F69">
              <w:rPr>
                <w:color w:val="000000" w:themeColor="text1"/>
                <w:sz w:val="18"/>
                <w:szCs w:val="18"/>
              </w:rPr>
              <w:t>υ</w:t>
            </w:r>
            <w:r w:rsidRPr="000A5C0F">
              <w:rPr>
                <w:color w:val="000000" w:themeColor="text1"/>
                <w:sz w:val="18"/>
                <w:szCs w:val="18"/>
              </w:rPr>
              <w:t>μ</w:t>
            </w:r>
            <w:r w:rsidR="00D77F69">
              <w:rPr>
                <w:color w:val="000000" w:themeColor="text1"/>
                <w:sz w:val="18"/>
                <w:szCs w:val="18"/>
              </w:rPr>
              <w:t>ά</w:t>
            </w:r>
            <w:r w:rsidRPr="000A5C0F">
              <w:rPr>
                <w:color w:val="000000" w:themeColor="text1"/>
                <w:sz w:val="18"/>
                <w:szCs w:val="18"/>
              </w:rPr>
              <w:t>νσ</w:t>
            </w:r>
            <w:r w:rsidR="00D77F69">
              <w:rPr>
                <w:color w:val="000000" w:themeColor="text1"/>
                <w:sz w:val="18"/>
                <w:szCs w:val="18"/>
              </w:rPr>
              <w:t>εις</w:t>
            </w:r>
            <w:r w:rsidRPr="000A5C0F">
              <w:rPr>
                <w:color w:val="000000" w:themeColor="text1"/>
                <w:sz w:val="18"/>
                <w:szCs w:val="18"/>
              </w:rPr>
              <w:t xml:space="preserve"> </w:t>
            </w:r>
            <w:r w:rsidR="00D77F69">
              <w:rPr>
                <w:color w:val="000000" w:themeColor="text1"/>
                <w:sz w:val="18"/>
                <w:szCs w:val="18"/>
              </w:rPr>
              <w:t>σ</w:t>
            </w:r>
            <w:r w:rsidRPr="000A5C0F">
              <w:rPr>
                <w:color w:val="000000" w:themeColor="text1"/>
                <w:sz w:val="18"/>
                <w:szCs w:val="18"/>
              </w:rPr>
              <w:t>τη</w:t>
            </w:r>
            <w:r w:rsidR="00D77F69">
              <w:rPr>
                <w:color w:val="000000" w:themeColor="text1"/>
                <w:sz w:val="18"/>
                <w:szCs w:val="18"/>
              </w:rPr>
              <w:t>ν</w:t>
            </w:r>
            <w:r w:rsidRPr="000A5C0F">
              <w:rPr>
                <w:color w:val="000000" w:themeColor="text1"/>
                <w:sz w:val="18"/>
                <w:szCs w:val="18"/>
              </w:rPr>
              <w:t xml:space="preserve"> αγοραία αξία του </w:t>
            </w:r>
            <w:r w:rsidRPr="00757EC6">
              <w:rPr>
                <w:color w:val="000000" w:themeColor="text1"/>
                <w:sz w:val="18"/>
                <w:szCs w:val="18"/>
              </w:rPr>
              <w:t>χαρτοφυλακίου του, λόγω των μεταβολών της αγοράς.</w:t>
            </w:r>
            <w:r w:rsidR="00436B6D" w:rsidRPr="00757EC6">
              <w:rPr>
                <w:color w:val="000000" w:themeColor="text1"/>
                <w:sz w:val="18"/>
                <w:szCs w:val="18"/>
              </w:rPr>
              <w:t xml:space="preserve"> </w:t>
            </w:r>
            <w:r w:rsidR="00436B6D" w:rsidRPr="00F42149">
              <w:rPr>
                <w:color w:val="000000" w:themeColor="text1"/>
                <w:sz w:val="18"/>
                <w:szCs w:val="18"/>
              </w:rPr>
              <w:t>Το Αμοιβαίο Κεφάλαιο εκτίθεται στο συναλλαγματικό κίνδυνο που προκύπτει από τις διακυμάνσεις των συναλλαγματικών ισοτιμιών και επηρεάζει την αποτίμηση των στοιχείων του ενεργητικού του που διαπραγματεύονται σε διαφορετικό νόμισμα από το νόμισμα αναφοράς του.</w:t>
            </w:r>
            <w:r w:rsidR="00F42149" w:rsidRPr="00F42149">
              <w:rPr>
                <w:color w:val="000000" w:themeColor="text1"/>
                <w:sz w:val="18"/>
                <w:szCs w:val="18"/>
              </w:rPr>
              <w:t xml:space="preserve"> </w:t>
            </w:r>
            <w:r w:rsidR="00F42149" w:rsidRPr="00757EC6">
              <w:rPr>
                <w:color w:val="000000" w:themeColor="text1"/>
                <w:sz w:val="18"/>
                <w:szCs w:val="18"/>
              </w:rPr>
              <w:t xml:space="preserve">Τέλος, το Αμοιβαίο Κεφάλαιο εκτίθεται στον κίνδυνο της ρευστότητας, </w:t>
            </w:r>
            <w:r w:rsidR="002B2672" w:rsidRPr="002B2672">
              <w:rPr>
                <w:color w:val="000000" w:themeColor="text1"/>
                <w:sz w:val="18"/>
                <w:szCs w:val="18"/>
              </w:rPr>
              <w:t xml:space="preserve">δηλαδή ο κίνδυνος ορισμένα στοιχεία του ενεργητικού του Αμοιβαίου Κεφαλαίου να μην μπορούν να ρευστοποιηθούν κατά τον επιθυμητό χρόνο ή με περιορισμένο κόστος προκειμένου το Αμοιβαίο Κεφάλαιο να συμμορφώνεται ανά πάσα στιγμή με τις υποχρεώσεις εξαγοράς μεριδίων. </w:t>
            </w:r>
            <w:r w:rsidR="008B78C1" w:rsidRPr="00757EC6">
              <w:rPr>
                <w:color w:val="000000" w:themeColor="text1"/>
                <w:sz w:val="18"/>
                <w:szCs w:val="18"/>
              </w:rPr>
              <w:t>Επιπλέον</w:t>
            </w:r>
            <w:r w:rsidR="008B78C1">
              <w:rPr>
                <w:sz w:val="18"/>
                <w:szCs w:val="18"/>
              </w:rPr>
              <w:t xml:space="preserve"> </w:t>
            </w:r>
            <w:r w:rsidRPr="000A5C0F">
              <w:rPr>
                <w:color w:val="000000" w:themeColor="text1"/>
                <w:sz w:val="18"/>
                <w:szCs w:val="18"/>
              </w:rPr>
              <w:t xml:space="preserve">κίνδυνοι που συνδέονται με το </w:t>
            </w:r>
            <w:r w:rsidR="001874C0">
              <w:rPr>
                <w:color w:val="000000" w:themeColor="text1"/>
                <w:sz w:val="18"/>
                <w:szCs w:val="18"/>
              </w:rPr>
              <w:t>Αμοιβαίο Κεφάλαιο</w:t>
            </w:r>
            <w:r w:rsidRPr="000A5C0F">
              <w:rPr>
                <w:color w:val="000000" w:themeColor="text1"/>
                <w:sz w:val="18"/>
                <w:szCs w:val="18"/>
              </w:rPr>
              <w:t xml:space="preserve"> παρουσιάζονται στην επόμενη ενότητα “Ποιοι είναι οι κίνδυνοι και τι μπορώ να κερδίσω;”</w:t>
            </w:r>
            <w:r w:rsidRPr="000A5C0F">
              <w:rPr>
                <w:color w:val="000000" w:themeColor="text1"/>
              </w:rPr>
              <w:t xml:space="preserve"> </w:t>
            </w:r>
          </w:p>
          <w:p w14:paraId="2D2C83BA" w14:textId="77777777" w:rsidR="002876E5" w:rsidRPr="00B32846" w:rsidRDefault="002876E5" w:rsidP="004244DB">
            <w:pPr>
              <w:spacing w:line="72" w:lineRule="auto"/>
              <w:jc w:val="both"/>
              <w:rPr>
                <w:sz w:val="10"/>
                <w:szCs w:val="10"/>
              </w:rPr>
            </w:pPr>
          </w:p>
          <w:p w14:paraId="1AD83391" w14:textId="448C7FB4" w:rsidR="00BC7170" w:rsidRPr="00954F81" w:rsidRDefault="00BC7170" w:rsidP="002876E5">
            <w:pPr>
              <w:jc w:val="both"/>
              <w:rPr>
                <w:b/>
                <w:bCs/>
                <w:sz w:val="20"/>
                <w:szCs w:val="20"/>
              </w:rPr>
            </w:pPr>
            <w:r w:rsidRPr="00954F81">
              <w:rPr>
                <w:b/>
                <w:bCs/>
                <w:sz w:val="20"/>
                <w:szCs w:val="20"/>
              </w:rPr>
              <w:t xml:space="preserve">Στοχευόμενος </w:t>
            </w:r>
            <w:r w:rsidR="002954E7">
              <w:rPr>
                <w:b/>
                <w:bCs/>
                <w:sz w:val="20"/>
                <w:szCs w:val="20"/>
              </w:rPr>
              <w:t>θεσμικός</w:t>
            </w:r>
            <w:r w:rsidR="00D77F69">
              <w:rPr>
                <w:b/>
                <w:bCs/>
                <w:sz w:val="20"/>
                <w:szCs w:val="20"/>
              </w:rPr>
              <w:t xml:space="preserve"> </w:t>
            </w:r>
            <w:r w:rsidRPr="00954F81">
              <w:rPr>
                <w:b/>
                <w:bCs/>
                <w:sz w:val="20"/>
                <w:szCs w:val="20"/>
              </w:rPr>
              <w:t>επενδυτής</w:t>
            </w:r>
          </w:p>
          <w:p w14:paraId="322B3235" w14:textId="7A22159A" w:rsidR="00074333" w:rsidRDefault="00074333" w:rsidP="00074333">
            <w:pPr>
              <w:jc w:val="both"/>
              <w:rPr>
                <w:sz w:val="18"/>
                <w:szCs w:val="18"/>
              </w:rPr>
            </w:pPr>
            <w:r w:rsidRPr="00382CE0">
              <w:rPr>
                <w:sz w:val="18"/>
                <w:szCs w:val="18"/>
              </w:rPr>
              <w:t>Απευθύνεται σε</w:t>
            </w:r>
            <w:r w:rsidR="00D77F69">
              <w:rPr>
                <w:sz w:val="18"/>
                <w:szCs w:val="18"/>
              </w:rPr>
              <w:t xml:space="preserve"> </w:t>
            </w:r>
            <w:r w:rsidRPr="00382CE0">
              <w:rPr>
                <w:sz w:val="18"/>
                <w:szCs w:val="18"/>
              </w:rPr>
              <w:t>επενδυτές µε μακροπρόθεσμο επενδυτικό ορίζοντα, τουλάχιστον πενταετίας</w:t>
            </w:r>
            <w:r w:rsidR="009B51F1">
              <w:rPr>
                <w:sz w:val="18"/>
                <w:szCs w:val="18"/>
              </w:rPr>
              <w:t xml:space="preserve"> (</w:t>
            </w:r>
            <w:r w:rsidR="00A33BCB">
              <w:rPr>
                <w:sz w:val="18"/>
                <w:szCs w:val="18"/>
              </w:rPr>
              <w:t>σ</w:t>
            </w:r>
            <w:r w:rsidR="009B51F1">
              <w:rPr>
                <w:sz w:val="18"/>
                <w:szCs w:val="18"/>
              </w:rPr>
              <w:t>υνιστώμενη περίοδος διακράτησης)</w:t>
            </w:r>
            <w:r w:rsidR="00D77F69">
              <w:rPr>
                <w:sz w:val="18"/>
                <w:szCs w:val="18"/>
              </w:rPr>
              <w:t xml:space="preserve"> και </w:t>
            </w:r>
            <w:r w:rsidRPr="00382CE0">
              <w:rPr>
                <w:sz w:val="18"/>
                <w:szCs w:val="18"/>
              </w:rPr>
              <w:t>δυναμικ</w:t>
            </w:r>
            <w:r w:rsidR="00F1586C">
              <w:rPr>
                <w:sz w:val="18"/>
                <w:szCs w:val="18"/>
              </w:rPr>
              <w:t>ό</w:t>
            </w:r>
            <w:r w:rsidRPr="00382CE0">
              <w:rPr>
                <w:sz w:val="18"/>
                <w:szCs w:val="18"/>
              </w:rPr>
              <w:t xml:space="preserve"> επενδυτικ</w:t>
            </w:r>
            <w:r w:rsidR="00F1586C">
              <w:rPr>
                <w:sz w:val="18"/>
                <w:szCs w:val="18"/>
              </w:rPr>
              <w:t>ό</w:t>
            </w:r>
            <w:r w:rsidRPr="00382CE0">
              <w:rPr>
                <w:sz w:val="18"/>
                <w:szCs w:val="18"/>
              </w:rPr>
              <w:t xml:space="preserve"> προφίλ που προσδοκούν σημαντικά κέρδη, και αποδέχονται τις διακυμάνσεις που παρουσιάζουν οι χρηματιστηριακές αγορές και τον σημαντικό κίνδυνο να υποστούν απώλεια κεφαλαίου.</w:t>
            </w:r>
          </w:p>
          <w:p w14:paraId="5ACCD5A8" w14:textId="77777777" w:rsidR="00074333" w:rsidRPr="00B32846" w:rsidRDefault="00074333" w:rsidP="004244DB">
            <w:pPr>
              <w:spacing w:line="72" w:lineRule="auto"/>
              <w:jc w:val="both"/>
              <w:rPr>
                <w:color w:val="FF0000"/>
                <w:sz w:val="10"/>
                <w:szCs w:val="10"/>
              </w:rPr>
            </w:pPr>
          </w:p>
          <w:p w14:paraId="47F2BDDD" w14:textId="7DE2C399" w:rsidR="00645A1F" w:rsidRPr="00954F81" w:rsidRDefault="00645A1F" w:rsidP="002876E5">
            <w:pPr>
              <w:jc w:val="both"/>
              <w:rPr>
                <w:b/>
                <w:bCs/>
                <w:sz w:val="20"/>
                <w:szCs w:val="20"/>
              </w:rPr>
            </w:pPr>
            <w:r w:rsidRPr="00954F81">
              <w:rPr>
                <w:b/>
                <w:bCs/>
                <w:sz w:val="20"/>
                <w:szCs w:val="20"/>
              </w:rPr>
              <w:t>Άλλες</w:t>
            </w:r>
            <w:r w:rsidR="00247BF7" w:rsidRPr="00954F81">
              <w:rPr>
                <w:b/>
                <w:bCs/>
                <w:sz w:val="20"/>
                <w:szCs w:val="20"/>
              </w:rPr>
              <w:t xml:space="preserve"> </w:t>
            </w:r>
            <w:r w:rsidRPr="00954F81">
              <w:rPr>
                <w:b/>
                <w:bCs/>
                <w:sz w:val="20"/>
                <w:szCs w:val="20"/>
              </w:rPr>
              <w:t>πληροφορίες:</w:t>
            </w:r>
          </w:p>
          <w:p w14:paraId="7A1DA0BD" w14:textId="0142B7A0" w:rsidR="002876E5" w:rsidRPr="00F44448" w:rsidRDefault="002876E5" w:rsidP="003D0899">
            <w:pPr>
              <w:pStyle w:val="ListParagraph"/>
              <w:numPr>
                <w:ilvl w:val="0"/>
                <w:numId w:val="13"/>
              </w:numPr>
              <w:jc w:val="both"/>
              <w:rPr>
                <w:sz w:val="18"/>
                <w:szCs w:val="18"/>
              </w:rPr>
            </w:pPr>
            <w:r w:rsidRPr="00F44448">
              <w:rPr>
                <w:sz w:val="18"/>
                <w:szCs w:val="18"/>
              </w:rPr>
              <w:t xml:space="preserve">Θεματοφύλακας: </w:t>
            </w:r>
            <w:r w:rsidR="00664042" w:rsidRPr="004C46A9">
              <w:rPr>
                <w:sz w:val="18"/>
                <w:szCs w:val="18"/>
              </w:rPr>
              <w:t>ΑΛΦΑ ΤΡΑΠΕΖΑ ΑΝΩΝΥΜΗ ΕΤΑΙΡΙΑ</w:t>
            </w:r>
          </w:p>
          <w:p w14:paraId="55C4FD7C" w14:textId="346B1510" w:rsidR="003D0899" w:rsidRPr="00F44448" w:rsidRDefault="002876E5" w:rsidP="003D0899">
            <w:pPr>
              <w:pStyle w:val="ListParagraph"/>
              <w:numPr>
                <w:ilvl w:val="0"/>
                <w:numId w:val="13"/>
              </w:numPr>
              <w:jc w:val="both"/>
              <w:rPr>
                <w:sz w:val="18"/>
                <w:szCs w:val="18"/>
              </w:rPr>
            </w:pPr>
            <w:r w:rsidRPr="00F44448">
              <w:rPr>
                <w:sz w:val="18"/>
                <w:szCs w:val="18"/>
              </w:rPr>
              <w:t xml:space="preserve">Το Ενημερωτικό Δελτίο, ο Κανονισμός, οι πρόσφατες Ετήσιες και Εξαμηνιαίες Εκθέσεις, καθώς και περαιτέρω πληροφορίες για τα Alpha Αμοιβαία Κεφάλαια, παρέχονται δωρεάν και είναι διαθέσιμα στην </w:t>
            </w:r>
            <w:r w:rsidR="00F37E1C" w:rsidRPr="00F37E1C">
              <w:rPr>
                <w:sz w:val="18"/>
                <w:szCs w:val="18"/>
              </w:rPr>
              <w:t>ελληνική γλώσσα</w:t>
            </w:r>
            <w:r w:rsidRPr="00F44448">
              <w:rPr>
                <w:sz w:val="18"/>
                <w:szCs w:val="18"/>
              </w:rPr>
              <w:t xml:space="preserve">, μέσω της ιστοσελίδας </w:t>
            </w:r>
            <w:hyperlink r:id="rId13" w:history="1">
              <w:r w:rsidRPr="00F44448">
                <w:rPr>
                  <w:rStyle w:val="Hyperlink"/>
                  <w:sz w:val="18"/>
                  <w:szCs w:val="18"/>
                </w:rPr>
                <w:t>www.alphamutual.gr</w:t>
              </w:r>
            </w:hyperlink>
            <w:r w:rsidRPr="00F44448">
              <w:rPr>
                <w:sz w:val="18"/>
                <w:szCs w:val="18"/>
              </w:rPr>
              <w:t xml:space="preserve"> ή μέσω του Δικτύου Καταστημάτων της Alpha Bank.</w:t>
            </w:r>
          </w:p>
          <w:p w14:paraId="3337D393" w14:textId="051538F2" w:rsidR="00247BF7" w:rsidRPr="00F44448" w:rsidRDefault="007A2B86" w:rsidP="007A2B86">
            <w:pPr>
              <w:pStyle w:val="ListParagraph"/>
              <w:numPr>
                <w:ilvl w:val="0"/>
                <w:numId w:val="13"/>
              </w:numPr>
              <w:jc w:val="both"/>
              <w:rPr>
                <w:sz w:val="18"/>
                <w:szCs w:val="18"/>
              </w:rPr>
            </w:pPr>
            <w:r w:rsidRPr="00F44448">
              <w:rPr>
                <w:sz w:val="18"/>
                <w:szCs w:val="18"/>
              </w:rPr>
              <w:lastRenderedPageBreak/>
              <w:t xml:space="preserve">Άλλες πρακτικές πληροφορίες για το Αμοιβαίο Κεφάλαιο καθώς και οι πιο πρόσφατες τιμές μεριδίων μπορούν να αντληθούν μέσω της ιστοσελίδας </w:t>
            </w:r>
            <w:hyperlink r:id="rId14" w:history="1">
              <w:r w:rsidRPr="00F44448">
                <w:rPr>
                  <w:rStyle w:val="Hyperlink"/>
                  <w:sz w:val="18"/>
                  <w:szCs w:val="18"/>
                </w:rPr>
                <w:t>www.alphamutual.gr</w:t>
              </w:r>
            </w:hyperlink>
            <w:r w:rsidR="00771FFA" w:rsidRPr="00F44448">
              <w:rPr>
                <w:sz w:val="18"/>
                <w:szCs w:val="18"/>
              </w:rPr>
              <w:t>.</w:t>
            </w:r>
          </w:p>
        </w:tc>
      </w:tr>
    </w:tbl>
    <w:tbl>
      <w:tblPr>
        <w:tblStyle w:val="TableGrid"/>
        <w:tblpPr w:leftFromText="181" w:rightFromText="181" w:vertAnchor="text" w:horzAnchor="margin" w:tblpXSpec="center" w:tblpY="1"/>
        <w:tblOverlap w:val="never"/>
        <w:tblW w:w="1134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1985"/>
        <w:gridCol w:w="7513"/>
        <w:gridCol w:w="1843"/>
      </w:tblGrid>
      <w:tr w:rsidR="006277CC" w14:paraId="44F7DC21" w14:textId="77777777" w:rsidTr="0074147F">
        <w:trPr>
          <w:trHeight w:val="20"/>
        </w:trPr>
        <w:tc>
          <w:tcPr>
            <w:tcW w:w="11341" w:type="dxa"/>
            <w:gridSpan w:val="3"/>
            <w:tcBorders>
              <w:top w:val="nil"/>
              <w:left w:val="nil"/>
              <w:bottom w:val="nil"/>
              <w:right w:val="nil"/>
            </w:tcBorders>
          </w:tcPr>
          <w:p w14:paraId="4AB76914" w14:textId="77777777" w:rsidR="003D0899" w:rsidRPr="00F44448" w:rsidRDefault="003D0899" w:rsidP="0074147F">
            <w:pPr>
              <w:rPr>
                <w:b/>
                <w:bCs/>
                <w:color w:val="4472C4" w:themeColor="accent1"/>
                <w:sz w:val="18"/>
                <w:szCs w:val="18"/>
              </w:rPr>
            </w:pPr>
          </w:p>
          <w:p w14:paraId="224797F6" w14:textId="77777777" w:rsidR="001874C0" w:rsidRDefault="00E432E0" w:rsidP="0074147F">
            <w:pPr>
              <w:rPr>
                <w:color w:val="1F497D"/>
              </w:rPr>
            </w:pPr>
            <w:r w:rsidRPr="00B32846">
              <w:rPr>
                <w:b/>
                <w:bCs/>
                <w:color w:val="1F497D"/>
              </w:rPr>
              <w:t>Ποιοι είναι οι κίνδυνοι και τι μπορώ να κερδίσω</w:t>
            </w:r>
            <w:r w:rsidR="00BE053C" w:rsidRPr="00B32846">
              <w:rPr>
                <w:b/>
                <w:bCs/>
                <w:color w:val="1F497D"/>
              </w:rPr>
              <w:t>;</w:t>
            </w:r>
            <w:r w:rsidR="00BE053C" w:rsidRPr="00B32846">
              <w:rPr>
                <w:color w:val="1F497D"/>
              </w:rPr>
              <w:t xml:space="preserve"> </w:t>
            </w:r>
          </w:p>
          <w:p w14:paraId="4CF097AE" w14:textId="48F2B647" w:rsidR="00D865F3" w:rsidRPr="00B32846" w:rsidRDefault="00E432E0" w:rsidP="0074147F">
            <w:pPr>
              <w:spacing w:line="120" w:lineRule="auto"/>
              <w:rPr>
                <w:color w:val="4472C4" w:themeColor="accent1"/>
              </w:rPr>
            </w:pPr>
            <w:r w:rsidRPr="00B32846">
              <w:rPr>
                <w:color w:val="1F497D"/>
              </w:rPr>
              <w:t xml:space="preserve"> </w:t>
            </w:r>
          </w:p>
        </w:tc>
      </w:tr>
      <w:tr w:rsidR="00124014" w14:paraId="2DA1C1BC" w14:textId="77777777" w:rsidTr="0074147F">
        <w:trPr>
          <w:trHeight w:val="851"/>
        </w:trPr>
        <w:tc>
          <w:tcPr>
            <w:tcW w:w="11341" w:type="dxa"/>
            <w:gridSpan w:val="3"/>
            <w:tcBorders>
              <w:top w:val="nil"/>
              <w:left w:val="nil"/>
              <w:bottom w:val="nil"/>
              <w:right w:val="nil"/>
            </w:tcBorders>
            <w:shd w:val="clear" w:color="auto" w:fill="1F497D"/>
          </w:tcPr>
          <w:p w14:paraId="201081D1" w14:textId="38D27148" w:rsidR="00124014" w:rsidRPr="00F44448" w:rsidRDefault="009E6C16" w:rsidP="0074147F">
            <w:pPr>
              <w:rPr>
                <w:sz w:val="18"/>
                <w:szCs w:val="18"/>
              </w:rPr>
            </w:pPr>
            <w:r w:rsidRPr="00F44448">
              <w:rPr>
                <w:noProof/>
                <w:color w:val="FFFFFF" w:themeColor="background1"/>
                <w:sz w:val="18"/>
                <w:szCs w:val="18"/>
                <w:lang w:eastAsia="el-GR"/>
              </w:rPr>
              <mc:AlternateContent>
                <mc:Choice Requires="wps">
                  <w:drawing>
                    <wp:anchor distT="0" distB="0" distL="114300" distR="114300" simplePos="0" relativeHeight="251658242" behindDoc="0" locked="1" layoutInCell="1" allowOverlap="1" wp14:anchorId="441102AF" wp14:editId="6296153F">
                      <wp:simplePos x="0" y="0"/>
                      <wp:positionH relativeFrom="column">
                        <wp:posOffset>3860800</wp:posOffset>
                      </wp:positionH>
                      <wp:positionV relativeFrom="paragraph">
                        <wp:posOffset>498475</wp:posOffset>
                      </wp:positionV>
                      <wp:extent cx="1760220" cy="2482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48285"/>
                              </a:xfrm>
                              <a:prstGeom prst="rect">
                                <a:avLst/>
                              </a:prstGeom>
                              <a:noFill/>
                              <a:ln w="9525">
                                <a:noFill/>
                                <a:miter lim="800000"/>
                                <a:headEnd/>
                                <a:tailEnd/>
                              </a:ln>
                            </wps:spPr>
                            <wps:txbx>
                              <w:txbxContent>
                                <w:p w14:paraId="1D0B109A" w14:textId="77777777" w:rsidR="009E6C16" w:rsidRPr="005B62F2" w:rsidRDefault="009E6C16" w:rsidP="009E6C16">
                                  <w:pPr>
                                    <w:jc w:val="right"/>
                                    <w:rPr>
                                      <w:b/>
                                      <w:color w:val="FFFFFF" w:themeColor="background1"/>
                                      <w:sz w:val="18"/>
                                    </w:rPr>
                                  </w:pPr>
                                  <w:r w:rsidRPr="005B62F2">
                                    <w:rPr>
                                      <w:b/>
                                      <w:color w:val="FFFFFF" w:themeColor="background1"/>
                                      <w:sz w:val="18"/>
                                    </w:rPr>
                                    <w:t xml:space="preserve">Υψηλότερος κίνδυνος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41102AF" id="_x0000_t202" coordsize="21600,21600" o:spt="202" path="m,l,21600r21600,l21600,xe">
                      <v:stroke joinstyle="miter"/>
                      <v:path gradientshapeok="t" o:connecttype="rect"/>
                    </v:shapetype>
                    <v:shape id="Text Box 2" o:spid="_x0000_s1026" type="#_x0000_t202" style="position:absolute;margin-left:304pt;margin-top:39.25pt;width:138.6pt;height:1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" filled="f" stroked="f">
                      <v:textbox>
                        <w:txbxContent>
                          <w:p w14:paraId="1D0B109A" w14:textId="77777777" w:rsidR="009E6C16" w:rsidRPr="005B62F2" w:rsidRDefault="009E6C16" w:rsidP="009E6C16">
                            <w:pPr>
                              <w:jc w:val="right"/>
                              <w:rPr>
                                <w:b/>
                                <w:color w:val="FFFFFF" w:themeColor="background1"/>
                                <w:sz w:val="18"/>
                              </w:rPr>
                            </w:pPr>
                            <w:r w:rsidRPr="005B62F2">
                              <w:rPr>
                                <w:b/>
                                <w:color w:val="FFFFFF" w:themeColor="background1"/>
                                <w:sz w:val="18"/>
                              </w:rPr>
                              <w:t xml:space="preserve">Υψηλότερος κίνδυνος </w:t>
                            </w:r>
                          </w:p>
                        </w:txbxContent>
                      </v:textbox>
                      <w10:anchorlock/>
                    </v:shape>
                  </w:pict>
                </mc:Fallback>
              </mc:AlternateContent>
            </w:r>
            <w:r w:rsidR="009B39FD" w:rsidRPr="00F44448">
              <w:rPr>
                <w:noProof/>
                <w:color w:val="FFFFFF" w:themeColor="background1"/>
                <w:sz w:val="18"/>
                <w:szCs w:val="18"/>
                <w:lang w:eastAsia="el-GR"/>
              </w:rPr>
              <mc:AlternateContent>
                <mc:Choice Requires="wps">
                  <w:drawing>
                    <wp:anchor distT="0" distB="0" distL="114300" distR="114300" simplePos="0" relativeHeight="251658241" behindDoc="0" locked="1" layoutInCell="1" allowOverlap="1" wp14:anchorId="72D4E62F" wp14:editId="1771451B">
                      <wp:simplePos x="0" y="0"/>
                      <wp:positionH relativeFrom="column">
                        <wp:posOffset>1089660</wp:posOffset>
                      </wp:positionH>
                      <wp:positionV relativeFrom="paragraph">
                        <wp:posOffset>478790</wp:posOffset>
                      </wp:positionV>
                      <wp:extent cx="1752600" cy="23749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37490"/>
                              </a:xfrm>
                              <a:prstGeom prst="rect">
                                <a:avLst/>
                              </a:prstGeom>
                              <a:noFill/>
                              <a:ln w="9525">
                                <a:noFill/>
                                <a:miter lim="800000"/>
                                <a:headEnd/>
                                <a:tailEnd/>
                              </a:ln>
                            </wps:spPr>
                            <wps:txbx>
                              <w:txbxContent>
                                <w:p w14:paraId="2484D8F5" w14:textId="77777777" w:rsidR="009B39FD" w:rsidRPr="005B62F2" w:rsidRDefault="009B39FD" w:rsidP="009B39FD">
                                  <w:pPr>
                                    <w:rPr>
                                      <w:b/>
                                      <w:color w:val="FFFFFF" w:themeColor="background1"/>
                                      <w:sz w:val="18"/>
                                    </w:rPr>
                                  </w:pPr>
                                  <w:r w:rsidRPr="005B62F2">
                                    <w:rPr>
                                      <w:b/>
                                      <w:color w:val="FFFFFF" w:themeColor="background1"/>
                                      <w:sz w:val="18"/>
                                    </w:rPr>
                                    <w:t xml:space="preserve">Χαμηλότερος κίνδυνος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D4E62F" id="_x0000_s1027" type="#_x0000_t202" style="position:absolute;margin-left:85.8pt;margin-top:37.7pt;width:138pt;height: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" filled="f" stroked="f">
                      <v:textbox>
                        <w:txbxContent>
                          <w:p w14:paraId="2484D8F5" w14:textId="77777777" w:rsidR="009B39FD" w:rsidRPr="005B62F2" w:rsidRDefault="009B39FD" w:rsidP="009B39FD">
                            <w:pPr>
                              <w:rPr>
                                <w:b/>
                                <w:color w:val="FFFFFF" w:themeColor="background1"/>
                                <w:sz w:val="18"/>
                              </w:rPr>
                            </w:pPr>
                            <w:r w:rsidRPr="005B62F2">
                              <w:rPr>
                                <w:b/>
                                <w:color w:val="FFFFFF" w:themeColor="background1"/>
                                <w:sz w:val="18"/>
                              </w:rPr>
                              <w:t xml:space="preserve">Χαμηλότερος κίνδυνος </w:t>
                            </w:r>
                          </w:p>
                        </w:txbxContent>
                      </v:textbox>
                      <w10:anchorlock/>
                    </v:shape>
                  </w:pict>
                </mc:Fallback>
              </mc:AlternateContent>
            </w:r>
            <w:r w:rsidR="00DA674F" w:rsidRPr="00F44448">
              <w:rPr>
                <w:b/>
                <w:noProof/>
                <w:color w:val="5B9BD5" w:themeColor="accent5"/>
                <w:sz w:val="18"/>
                <w:szCs w:val="18"/>
                <w:lang w:eastAsia="el-GR"/>
              </w:rPr>
              <mc:AlternateContent>
                <mc:Choice Requires="wpg">
                  <w:drawing>
                    <wp:anchor distT="0" distB="0" distL="114300" distR="114300" simplePos="0" relativeHeight="251658240" behindDoc="0" locked="1" layoutInCell="1" allowOverlap="1" wp14:anchorId="5C4BF74A" wp14:editId="4BFA8CDB">
                      <wp:simplePos x="0" y="0"/>
                      <wp:positionH relativeFrom="margin">
                        <wp:posOffset>1061085</wp:posOffset>
                      </wp:positionH>
                      <wp:positionV relativeFrom="paragraph">
                        <wp:posOffset>94615</wp:posOffset>
                      </wp:positionV>
                      <wp:extent cx="4542790" cy="370205"/>
                      <wp:effectExtent l="38100" t="0" r="67310" b="679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2790" cy="370205"/>
                                <a:chOff x="0" y="0"/>
                                <a:chExt cx="57594" cy="3975"/>
                              </a:xfrm>
                            </wpg:grpSpPr>
                            <wps:wsp>
                              <wps:cNvPr id="6" name="Rectangle 23"/>
                              <wps:cNvSpPr>
                                <a:spLocks noChangeArrowheads="1"/>
                              </wps:cNvSpPr>
                              <wps:spPr bwMode="auto">
                                <a:xfrm>
                                  <a:off x="1669" y="0"/>
                                  <a:ext cx="5398" cy="2876"/>
                                </a:xfrm>
                                <a:prstGeom prst="rect">
                                  <a:avLst/>
                                </a:prstGeom>
                                <a:noFill/>
                                <a:ln w="1905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63A686" w14:textId="77777777" w:rsidR="00DA674F" w:rsidRPr="003E4E40" w:rsidRDefault="00DA674F" w:rsidP="00DA674F">
                                    <w:pPr>
                                      <w:jc w:val="center"/>
                                      <w:rPr>
                                        <w:b/>
                                        <w:color w:val="FFFFFF" w:themeColor="background1"/>
                                        <w:szCs w:val="24"/>
                                      </w:rPr>
                                    </w:pPr>
                                    <w:r w:rsidRPr="003E4E40">
                                      <w:rPr>
                                        <w:b/>
                                        <w:color w:val="FFFFFF" w:themeColor="background1"/>
                                        <w:szCs w:val="24"/>
                                      </w:rPr>
                                      <w:t>1</w:t>
                                    </w:r>
                                  </w:p>
                                </w:txbxContent>
                              </wps:txbx>
                              <wps:bodyPr rot="0" vert="horz" wrap="square" lIns="91440" tIns="45720" rIns="91440" bIns="45720" anchor="ctr" anchorCtr="0" upright="1">
                                <a:noAutofit/>
                              </wps:bodyPr>
                            </wps:wsp>
                            <wps:wsp>
                              <wps:cNvPr id="7" name="Rectangle 24"/>
                              <wps:cNvSpPr>
                                <a:spLocks noChangeArrowheads="1"/>
                              </wps:cNvSpPr>
                              <wps:spPr bwMode="auto">
                                <a:xfrm>
                                  <a:off x="9780" y="0"/>
                                  <a:ext cx="5397" cy="2876"/>
                                </a:xfrm>
                                <a:prstGeom prst="rect">
                                  <a:avLst/>
                                </a:prstGeom>
                                <a:noFill/>
                                <a:ln w="1905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970606B" w14:textId="77777777" w:rsidR="00DA674F" w:rsidRPr="003E4E40" w:rsidRDefault="00DA674F" w:rsidP="00DA674F">
                                    <w:pPr>
                                      <w:jc w:val="center"/>
                                      <w:rPr>
                                        <w:b/>
                                        <w:color w:val="FFFFFF" w:themeColor="background1"/>
                                        <w:szCs w:val="24"/>
                                      </w:rPr>
                                    </w:pPr>
                                    <w:r w:rsidRPr="003E4E40">
                                      <w:rPr>
                                        <w:b/>
                                        <w:color w:val="FFFFFF" w:themeColor="background1"/>
                                        <w:szCs w:val="24"/>
                                      </w:rPr>
                                      <w:t>2</w:t>
                                    </w:r>
                                  </w:p>
                                  <w:p w14:paraId="672FE793" w14:textId="77777777" w:rsidR="00DA674F" w:rsidRDefault="00DA674F" w:rsidP="00DA674F">
                                    <w:pPr>
                                      <w:jc w:val="center"/>
                                    </w:pPr>
                                  </w:p>
                                </w:txbxContent>
                              </wps:txbx>
                              <wps:bodyPr rot="0" vert="horz" wrap="square" lIns="91440" tIns="45720" rIns="91440" bIns="45720" anchor="ctr" anchorCtr="0" upright="1">
                                <a:noAutofit/>
                              </wps:bodyPr>
                            </wps:wsp>
                            <wps:wsp>
                              <wps:cNvPr id="8" name="Rectangle 25"/>
                              <wps:cNvSpPr>
                                <a:spLocks noChangeArrowheads="1"/>
                              </wps:cNvSpPr>
                              <wps:spPr bwMode="auto">
                                <a:xfrm>
                                  <a:off x="17890" y="0"/>
                                  <a:ext cx="5397" cy="2876"/>
                                </a:xfrm>
                                <a:prstGeom prst="rect">
                                  <a:avLst/>
                                </a:prstGeom>
                                <a:noFill/>
                                <a:ln w="1905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352DD9" w14:textId="77777777" w:rsidR="00DA674F" w:rsidRPr="00831FA0" w:rsidRDefault="00DA674F" w:rsidP="00DA674F">
                                    <w:pPr>
                                      <w:jc w:val="center"/>
                                      <w:rPr>
                                        <w:b/>
                                        <w:color w:val="FFFFFF" w:themeColor="background1"/>
                                        <w:szCs w:val="24"/>
                                      </w:rPr>
                                    </w:pPr>
                                    <w:r w:rsidRPr="00831FA0">
                                      <w:rPr>
                                        <w:b/>
                                        <w:color w:val="FFFFFF" w:themeColor="background1"/>
                                        <w:szCs w:val="24"/>
                                      </w:rPr>
                                      <w:t>3</w:t>
                                    </w:r>
                                  </w:p>
                                  <w:p w14:paraId="732CC6CE" w14:textId="77777777" w:rsidR="00DA674F" w:rsidRDefault="00DA674F" w:rsidP="00DA674F">
                                    <w:pPr>
                                      <w:jc w:val="center"/>
                                    </w:pPr>
                                  </w:p>
                                </w:txbxContent>
                              </wps:txbx>
                              <wps:bodyPr rot="0" vert="horz" wrap="square" lIns="91440" tIns="45720" rIns="91440" bIns="45720" anchor="ctr" anchorCtr="0" upright="1">
                                <a:noAutofit/>
                              </wps:bodyPr>
                            </wps:wsp>
                            <wps:wsp>
                              <wps:cNvPr id="9" name="Rectangle 26"/>
                              <wps:cNvSpPr>
                                <a:spLocks noChangeArrowheads="1"/>
                              </wps:cNvSpPr>
                              <wps:spPr bwMode="auto">
                                <a:xfrm>
                                  <a:off x="26000" y="0"/>
                                  <a:ext cx="5398" cy="2876"/>
                                </a:xfrm>
                                <a:prstGeom prst="rect">
                                  <a:avLst/>
                                </a:prstGeom>
                                <a:solidFill>
                                  <a:srgbClr val="FFFF00"/>
                                </a:solidFill>
                                <a:ln w="19050">
                                  <a:solidFill>
                                    <a:sysClr val="window" lastClr="FFFFFF">
                                      <a:lumMod val="100000"/>
                                      <a:lumOff val="0"/>
                                    </a:sysClr>
                                  </a:solidFill>
                                  <a:miter lim="800000"/>
                                  <a:headEnd/>
                                  <a:tailEnd/>
                                </a:ln>
                              </wps:spPr>
                              <wps:txbx>
                                <w:txbxContent>
                                  <w:p w14:paraId="306E4CD6" w14:textId="77777777" w:rsidR="00DA674F" w:rsidRPr="000249EB" w:rsidRDefault="00DA674F" w:rsidP="00DA674F">
                                    <w:pPr>
                                      <w:jc w:val="center"/>
                                      <w:rPr>
                                        <w:b/>
                                        <w:szCs w:val="24"/>
                                      </w:rPr>
                                    </w:pPr>
                                    <w:r w:rsidRPr="000249EB">
                                      <w:rPr>
                                        <w:b/>
                                        <w:szCs w:val="24"/>
                                      </w:rPr>
                                      <w:t>4</w:t>
                                    </w:r>
                                  </w:p>
                                  <w:p w14:paraId="12867AEC" w14:textId="77777777" w:rsidR="00DA674F" w:rsidRPr="000249EB" w:rsidRDefault="00DA674F" w:rsidP="00DA674F">
                                    <w:pPr>
                                      <w:jc w:val="center"/>
                                    </w:pPr>
                                  </w:p>
                                </w:txbxContent>
                              </wps:txbx>
                              <wps:bodyPr rot="0" vert="horz" wrap="square" lIns="91440" tIns="45720" rIns="91440" bIns="45720" anchor="ctr" anchorCtr="0" upright="1">
                                <a:noAutofit/>
                              </wps:bodyPr>
                            </wps:wsp>
                            <wps:wsp>
                              <wps:cNvPr id="10" name="Rectangle 27"/>
                              <wps:cNvSpPr>
                                <a:spLocks noChangeArrowheads="1"/>
                              </wps:cNvSpPr>
                              <wps:spPr bwMode="auto">
                                <a:xfrm>
                                  <a:off x="34111" y="0"/>
                                  <a:ext cx="5397" cy="2876"/>
                                </a:xfrm>
                                <a:prstGeom prst="rect">
                                  <a:avLst/>
                                </a:prstGeom>
                                <a:noFill/>
                                <a:ln w="19050">
                                  <a:solidFill>
                                    <a:sysClr val="window" lastClr="FFFFFF">
                                      <a:lumMod val="100000"/>
                                      <a:lumOff val="0"/>
                                    </a:sysClr>
                                  </a:solidFill>
                                  <a:miter lim="800000"/>
                                  <a:headEnd/>
                                  <a:tailEnd/>
                                </a:ln>
                              </wps:spPr>
                              <wps:txbx>
                                <w:txbxContent>
                                  <w:p w14:paraId="783D1A56" w14:textId="77777777" w:rsidR="00DA674F" w:rsidRPr="000249EB" w:rsidRDefault="00DA674F" w:rsidP="00DA674F">
                                    <w:pPr>
                                      <w:jc w:val="center"/>
                                      <w:rPr>
                                        <w:b/>
                                        <w:color w:val="FFFFFF" w:themeColor="background1"/>
                                        <w:szCs w:val="24"/>
                                      </w:rPr>
                                    </w:pPr>
                                    <w:r w:rsidRPr="000249EB">
                                      <w:rPr>
                                        <w:b/>
                                        <w:color w:val="FFFFFF" w:themeColor="background1"/>
                                        <w:szCs w:val="24"/>
                                      </w:rPr>
                                      <w:t>5</w:t>
                                    </w:r>
                                  </w:p>
                                </w:txbxContent>
                              </wps:txbx>
                              <wps:bodyPr rot="0" vert="horz" wrap="square" lIns="91440" tIns="45720" rIns="91440" bIns="45720" anchor="ctr" anchorCtr="0" upright="1">
                                <a:noAutofit/>
                              </wps:bodyPr>
                            </wps:wsp>
                            <wps:wsp>
                              <wps:cNvPr id="11" name="Rectangle 28"/>
                              <wps:cNvSpPr>
                                <a:spLocks noChangeArrowheads="1"/>
                              </wps:cNvSpPr>
                              <wps:spPr bwMode="auto">
                                <a:xfrm>
                                  <a:off x="42221" y="0"/>
                                  <a:ext cx="5397" cy="2876"/>
                                </a:xfrm>
                                <a:prstGeom prst="rect">
                                  <a:avLst/>
                                </a:prstGeom>
                                <a:noFill/>
                                <a:ln w="19050">
                                  <a:solidFill>
                                    <a:sysClr val="window" lastClr="FFFFFF">
                                      <a:lumMod val="100000"/>
                                      <a:lumOff val="0"/>
                                    </a:sysClr>
                                  </a:solidFill>
                                  <a:miter lim="800000"/>
                                  <a:headEnd/>
                                  <a:tailEnd/>
                                </a:ln>
                              </wps:spPr>
                              <wps:txbx>
                                <w:txbxContent>
                                  <w:p w14:paraId="35A7C50F" w14:textId="77777777" w:rsidR="00DA674F" w:rsidRPr="00CC5883" w:rsidRDefault="00DA674F" w:rsidP="00DA674F">
                                    <w:pPr>
                                      <w:jc w:val="center"/>
                                      <w:rPr>
                                        <w:b/>
                                        <w:color w:val="FFFFFF" w:themeColor="background1"/>
                                        <w:szCs w:val="24"/>
                                      </w:rPr>
                                    </w:pPr>
                                    <w:r w:rsidRPr="00CC5883">
                                      <w:rPr>
                                        <w:b/>
                                        <w:color w:val="FFFFFF" w:themeColor="background1"/>
                                        <w:szCs w:val="24"/>
                                      </w:rPr>
                                      <w:t>6</w:t>
                                    </w:r>
                                  </w:p>
                                  <w:p w14:paraId="003F9AA2" w14:textId="77777777" w:rsidR="00DA674F" w:rsidRDefault="00DA674F" w:rsidP="00DA674F">
                                    <w:pPr>
                                      <w:jc w:val="center"/>
                                    </w:pPr>
                                  </w:p>
                                </w:txbxContent>
                              </wps:txbx>
                              <wps:bodyPr rot="0" vert="horz" wrap="square" lIns="91440" tIns="45720" rIns="91440" bIns="45720" anchor="ctr" anchorCtr="0" upright="1">
                                <a:noAutofit/>
                              </wps:bodyPr>
                            </wps:wsp>
                            <wps:wsp>
                              <wps:cNvPr id="12" name="Rectangle 29"/>
                              <wps:cNvSpPr>
                                <a:spLocks noChangeArrowheads="1"/>
                              </wps:cNvSpPr>
                              <wps:spPr bwMode="auto">
                                <a:xfrm>
                                  <a:off x="50331" y="0"/>
                                  <a:ext cx="5398" cy="2876"/>
                                </a:xfrm>
                                <a:prstGeom prst="rect">
                                  <a:avLst/>
                                </a:prstGeom>
                                <a:noFill/>
                                <a:ln w="19050">
                                  <a:solidFill>
                                    <a:sysClr val="window" lastClr="FFFFFF">
                                      <a:lumMod val="100000"/>
                                      <a:lumOff val="0"/>
                                    </a:sysClr>
                                  </a:solidFill>
                                  <a:miter lim="800000"/>
                                  <a:headEnd/>
                                  <a:tailEnd/>
                                </a:ln>
                              </wps:spPr>
                              <wps:txbx>
                                <w:txbxContent>
                                  <w:p w14:paraId="00436FD5" w14:textId="77777777" w:rsidR="00DA674F" w:rsidRPr="00E06DA5" w:rsidRDefault="00DA674F" w:rsidP="00DA674F">
                                    <w:pPr>
                                      <w:jc w:val="center"/>
                                      <w:rPr>
                                        <w:b/>
                                        <w:color w:val="FFFFFF" w:themeColor="background1"/>
                                        <w:szCs w:val="24"/>
                                      </w:rPr>
                                    </w:pPr>
                                    <w:r w:rsidRPr="00E06DA5">
                                      <w:rPr>
                                        <w:b/>
                                        <w:color w:val="FFFFFF" w:themeColor="background1"/>
                                        <w:szCs w:val="24"/>
                                      </w:rPr>
                                      <w:t>7</w:t>
                                    </w:r>
                                  </w:p>
                                  <w:p w14:paraId="3625F30E" w14:textId="77777777" w:rsidR="00DA674F" w:rsidRDefault="00DA674F" w:rsidP="00DA674F">
                                    <w:pPr>
                                      <w:jc w:val="center"/>
                                    </w:pPr>
                                  </w:p>
                                </w:txbxContent>
                              </wps:txbx>
                              <wps:bodyPr rot="0" vert="horz" wrap="square" lIns="91440" tIns="45720" rIns="91440" bIns="45720" anchor="ctr" anchorCtr="0" upright="1">
                                <a:noAutofit/>
                              </wps:bodyPr>
                            </wps:wsp>
                            <wps:wsp>
                              <wps:cNvPr id="14" name="Straight Connector 129"/>
                              <wps:cNvCnPr>
                                <a:cxnSpLocks noChangeShapeType="1"/>
                              </wps:cNvCnPr>
                              <wps:spPr bwMode="auto">
                                <a:xfrm>
                                  <a:off x="0" y="3975"/>
                                  <a:ext cx="57594" cy="0"/>
                                </a:xfrm>
                                <a:prstGeom prst="line">
                                  <a:avLst/>
                                </a:prstGeom>
                                <a:noFill/>
                                <a:ln w="28575">
                                  <a:solidFill>
                                    <a:sysClr val="window" lastClr="FFFFFF">
                                      <a:lumMod val="100000"/>
                                      <a:lumOff val="0"/>
                                    </a:sysClr>
                                  </a:solidFill>
                                  <a:prstDash val="sysDot"/>
                                  <a:miter lim="800000"/>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4BF74A" id="Group 5" o:spid="_x0000_s1028" style="position:absolute;margin-left:83.55pt;margin-top:7.45pt;width:357.7pt;height:29.15pt;z-index:251658240;mso-position-horizontal-relative:margin" coordsize="57594,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">
                      <v:rect id="Rectangle 23" o:spid="_x0000_s1029" style="position:absolute;left:1669;width:539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" filled="f" strokecolor="white" strokeweight="1.5pt">
                        <v:textbox>
                          <w:txbxContent>
                            <w:p w14:paraId="2863A686" w14:textId="77777777" w:rsidR="00DA674F" w:rsidRPr="003E4E40" w:rsidRDefault="00DA674F" w:rsidP="00DA674F">
                              <w:pPr>
                                <w:jc w:val="center"/>
                                <w:rPr>
                                  <w:b/>
                                  <w:color w:val="FFFFFF" w:themeColor="background1"/>
                                  <w:szCs w:val="24"/>
                                </w:rPr>
                              </w:pPr>
                              <w:r w:rsidRPr="003E4E40">
                                <w:rPr>
                                  <w:b/>
                                  <w:color w:val="FFFFFF" w:themeColor="background1"/>
                                  <w:szCs w:val="24"/>
                                </w:rPr>
                                <w:t>1</w:t>
                              </w:r>
                            </w:p>
                          </w:txbxContent>
                        </v:textbox>
                      </v:rect>
                      <v:rect id="Rectangle 24" o:spid="_x0000_s1030" style="position:absolute;left:9780;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" filled="f" strokecolor="white" strokeweight="1.5pt">
                        <v:textbox>
                          <w:txbxContent>
                            <w:p w14:paraId="7970606B" w14:textId="77777777" w:rsidR="00DA674F" w:rsidRPr="003E4E40" w:rsidRDefault="00DA674F" w:rsidP="00DA674F">
                              <w:pPr>
                                <w:jc w:val="center"/>
                                <w:rPr>
                                  <w:b/>
                                  <w:color w:val="FFFFFF" w:themeColor="background1"/>
                                  <w:szCs w:val="24"/>
                                </w:rPr>
                              </w:pPr>
                              <w:r w:rsidRPr="003E4E40">
                                <w:rPr>
                                  <w:b/>
                                  <w:color w:val="FFFFFF" w:themeColor="background1"/>
                                  <w:szCs w:val="24"/>
                                </w:rPr>
                                <w:t>2</w:t>
                              </w:r>
                            </w:p>
                            <w:p w14:paraId="672FE793" w14:textId="77777777" w:rsidR="00DA674F" w:rsidRDefault="00DA674F" w:rsidP="00DA674F">
                              <w:pPr>
                                <w:jc w:val="center"/>
                              </w:pPr>
                            </w:p>
                          </w:txbxContent>
                        </v:textbox>
                      </v:rect>
                      <v:rect id="Rectangle 25" o:spid="_x0000_s1031" style="position:absolute;left:17890;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" filled="f" strokecolor="white" strokeweight="1.5pt">
                        <v:textbox>
                          <w:txbxContent>
                            <w:p w14:paraId="60352DD9" w14:textId="77777777" w:rsidR="00DA674F" w:rsidRPr="00831FA0" w:rsidRDefault="00DA674F" w:rsidP="00DA674F">
                              <w:pPr>
                                <w:jc w:val="center"/>
                                <w:rPr>
                                  <w:b/>
                                  <w:color w:val="FFFFFF" w:themeColor="background1"/>
                                  <w:szCs w:val="24"/>
                                </w:rPr>
                              </w:pPr>
                              <w:r w:rsidRPr="00831FA0">
                                <w:rPr>
                                  <w:b/>
                                  <w:color w:val="FFFFFF" w:themeColor="background1"/>
                                  <w:szCs w:val="24"/>
                                </w:rPr>
                                <w:t>3</w:t>
                              </w:r>
                            </w:p>
                            <w:p w14:paraId="732CC6CE" w14:textId="77777777" w:rsidR="00DA674F" w:rsidRDefault="00DA674F" w:rsidP="00DA674F">
                              <w:pPr>
                                <w:jc w:val="center"/>
                              </w:pPr>
                            </w:p>
                          </w:txbxContent>
                        </v:textbox>
                      </v:rect>
                      <v:rect id="Rectangle 26" o:spid="_x0000_s1032" style="position:absolute;left:26000;width:539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" fillcolor="yellow" strokecolor="white" strokeweight="1.5pt">
                        <v:textbox>
                          <w:txbxContent>
                            <w:p w14:paraId="306E4CD6" w14:textId="77777777" w:rsidR="00DA674F" w:rsidRPr="000249EB" w:rsidRDefault="00DA674F" w:rsidP="00DA674F">
                              <w:pPr>
                                <w:jc w:val="center"/>
                                <w:rPr>
                                  <w:b/>
                                  <w:szCs w:val="24"/>
                                </w:rPr>
                              </w:pPr>
                              <w:r w:rsidRPr="000249EB">
                                <w:rPr>
                                  <w:b/>
                                  <w:szCs w:val="24"/>
                                </w:rPr>
                                <w:t>4</w:t>
                              </w:r>
                            </w:p>
                            <w:p w14:paraId="12867AEC" w14:textId="77777777" w:rsidR="00DA674F" w:rsidRPr="000249EB" w:rsidRDefault="00DA674F" w:rsidP="00DA674F">
                              <w:pPr>
                                <w:jc w:val="center"/>
                              </w:pPr>
                            </w:p>
                          </w:txbxContent>
                        </v:textbox>
                      </v:rect>
                      <v:rect id="Rectangle 27" o:spid="_x0000_s1033" style="position:absolute;left:34111;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" filled="f" strokecolor="white" strokeweight="1.5pt">
                        <v:textbox>
                          <w:txbxContent>
                            <w:p w14:paraId="783D1A56" w14:textId="77777777" w:rsidR="00DA674F" w:rsidRPr="000249EB" w:rsidRDefault="00DA674F" w:rsidP="00DA674F">
                              <w:pPr>
                                <w:jc w:val="center"/>
                                <w:rPr>
                                  <w:b/>
                                  <w:color w:val="FFFFFF" w:themeColor="background1"/>
                                  <w:szCs w:val="24"/>
                                </w:rPr>
                              </w:pPr>
                              <w:r w:rsidRPr="000249EB">
                                <w:rPr>
                                  <w:b/>
                                  <w:color w:val="FFFFFF" w:themeColor="background1"/>
                                  <w:szCs w:val="24"/>
                                </w:rPr>
                                <w:t>5</w:t>
                              </w:r>
                            </w:p>
                          </w:txbxContent>
                        </v:textbox>
                      </v:rect>
                      <v:rect id="Rectangle 28" o:spid="_x0000_s1034" style="position:absolute;left:42221;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" filled="f" strokecolor="white" strokeweight="1.5pt">
                        <v:textbox>
                          <w:txbxContent>
                            <w:p w14:paraId="35A7C50F" w14:textId="77777777" w:rsidR="00DA674F" w:rsidRPr="00CC5883" w:rsidRDefault="00DA674F" w:rsidP="00DA674F">
                              <w:pPr>
                                <w:jc w:val="center"/>
                                <w:rPr>
                                  <w:b/>
                                  <w:color w:val="FFFFFF" w:themeColor="background1"/>
                                  <w:szCs w:val="24"/>
                                </w:rPr>
                              </w:pPr>
                              <w:r w:rsidRPr="00CC5883">
                                <w:rPr>
                                  <w:b/>
                                  <w:color w:val="FFFFFF" w:themeColor="background1"/>
                                  <w:szCs w:val="24"/>
                                </w:rPr>
                                <w:t>6</w:t>
                              </w:r>
                            </w:p>
                            <w:p w14:paraId="003F9AA2" w14:textId="77777777" w:rsidR="00DA674F" w:rsidRDefault="00DA674F" w:rsidP="00DA674F">
                              <w:pPr>
                                <w:jc w:val="center"/>
                              </w:pPr>
                            </w:p>
                          </w:txbxContent>
                        </v:textbox>
                      </v:rect>
                      <v:rect id="Rectangle 29" o:spid="_x0000_s1035" style="position:absolute;left:50331;width:539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" filled="f" strokecolor="white" strokeweight="1.5pt">
                        <v:textbox>
                          <w:txbxContent>
                            <w:p w14:paraId="00436FD5" w14:textId="77777777" w:rsidR="00DA674F" w:rsidRPr="00E06DA5" w:rsidRDefault="00DA674F" w:rsidP="00DA674F">
                              <w:pPr>
                                <w:jc w:val="center"/>
                                <w:rPr>
                                  <w:b/>
                                  <w:color w:val="FFFFFF" w:themeColor="background1"/>
                                  <w:szCs w:val="24"/>
                                </w:rPr>
                              </w:pPr>
                              <w:r w:rsidRPr="00E06DA5">
                                <w:rPr>
                                  <w:b/>
                                  <w:color w:val="FFFFFF" w:themeColor="background1"/>
                                  <w:szCs w:val="24"/>
                                </w:rPr>
                                <w:t>7</w:t>
                              </w:r>
                            </w:p>
                            <w:p w14:paraId="3625F30E" w14:textId="77777777" w:rsidR="00DA674F" w:rsidRDefault="00DA674F" w:rsidP="00DA674F">
                              <w:pPr>
                                <w:jc w:val="center"/>
                              </w:pPr>
                            </w:p>
                          </w:txbxContent>
                        </v:textbox>
                      </v:rect>
                      <v:line id="Straight Connector 129" o:spid="_x0000_s1036" style="position:absolute;visibility:visible;mso-wrap-style:square" from="0,3975" to="57594,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" strokecolor="white" strokeweight="2.25pt">
                        <v:stroke dashstyle="1 1" startarrow="block" endarrow="block" joinstyle="miter"/>
                      </v:line>
                      <w10:wrap anchorx="margin"/>
                      <w10:anchorlock/>
                    </v:group>
                  </w:pict>
                </mc:Fallback>
              </mc:AlternateContent>
            </w:r>
          </w:p>
          <w:p w14:paraId="6ADE55EF" w14:textId="77777777" w:rsidR="00CD6867" w:rsidRPr="00F44448" w:rsidRDefault="00CD6867" w:rsidP="0074147F">
            <w:pPr>
              <w:rPr>
                <w:sz w:val="18"/>
                <w:szCs w:val="18"/>
              </w:rPr>
            </w:pPr>
          </w:p>
          <w:p w14:paraId="2F0577A0" w14:textId="77777777" w:rsidR="00CD6867" w:rsidRPr="00F44448" w:rsidRDefault="00CD6867" w:rsidP="0074147F">
            <w:pPr>
              <w:rPr>
                <w:sz w:val="18"/>
                <w:szCs w:val="18"/>
              </w:rPr>
            </w:pPr>
          </w:p>
          <w:p w14:paraId="67078C9E" w14:textId="46754896" w:rsidR="00CD6867" w:rsidRPr="00F44448" w:rsidRDefault="00CD6867" w:rsidP="0074147F">
            <w:pPr>
              <w:rPr>
                <w:sz w:val="18"/>
                <w:szCs w:val="18"/>
              </w:rPr>
            </w:pPr>
          </w:p>
          <w:p w14:paraId="1C6E7E6F" w14:textId="77777777" w:rsidR="0029030E" w:rsidRPr="00F44448" w:rsidRDefault="0029030E" w:rsidP="0074147F">
            <w:pPr>
              <w:rPr>
                <w:sz w:val="18"/>
                <w:szCs w:val="18"/>
              </w:rPr>
            </w:pPr>
          </w:p>
          <w:p w14:paraId="76A6F7A7" w14:textId="52875BF7" w:rsidR="00AE6BFB" w:rsidRDefault="00CD6867" w:rsidP="0074147F">
            <w:pPr>
              <w:ind w:left="851" w:right="-1"/>
              <w:jc w:val="both"/>
              <w:rPr>
                <w:i/>
                <w:color w:val="FFFFFF" w:themeColor="background1"/>
                <w:sz w:val="18"/>
                <w:szCs w:val="18"/>
              </w:rPr>
            </w:pPr>
            <w:r w:rsidRPr="00F44448">
              <w:rPr>
                <w:b/>
                <w:noProof/>
                <w:color w:val="FFFFFF" w:themeColor="background1"/>
                <w:sz w:val="18"/>
                <w:szCs w:val="18"/>
                <w:lang w:eastAsia="el-GR"/>
              </w:rPr>
              <mc:AlternateContent>
                <mc:Choice Requires="wpg">
                  <w:drawing>
                    <wp:anchor distT="0" distB="0" distL="114300" distR="114300" simplePos="0" relativeHeight="251658243" behindDoc="0" locked="0" layoutInCell="1" allowOverlap="1" wp14:anchorId="7806D1C7" wp14:editId="70A4D796">
                      <wp:simplePos x="0" y="0"/>
                      <wp:positionH relativeFrom="margin">
                        <wp:posOffset>59690</wp:posOffset>
                      </wp:positionH>
                      <wp:positionV relativeFrom="paragraph">
                        <wp:posOffset>39370</wp:posOffset>
                      </wp:positionV>
                      <wp:extent cx="409575" cy="333375"/>
                      <wp:effectExtent l="0" t="0" r="952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 cy="333375"/>
                                <a:chOff x="0" y="3245"/>
                                <a:chExt cx="666750" cy="620219"/>
                              </a:xfrm>
                            </wpg:grpSpPr>
                            <wps:wsp>
                              <wps:cNvPr id="3" name="Freeform 5" descr="© INSCALE GmbH, 26.05.2010&#10;http://www.presentationload.com/"/>
                              <wps:cNvSpPr>
                                <a:spLocks noChangeAspect="1"/>
                              </wps:cNvSpPr>
                              <wps:spPr bwMode="gray">
                                <a:xfrm rot="10800000">
                                  <a:off x="0" y="15903"/>
                                  <a:ext cx="666750" cy="525779"/>
                                </a:xfrm>
                                <a:custGeom>
                                  <a:avLst/>
                                  <a:gdLst/>
                                  <a:ahLst/>
                                  <a:cxnLst>
                                    <a:cxn ang="0">
                                      <a:pos x="339" y="0"/>
                                    </a:cxn>
                                    <a:cxn ang="0">
                                      <a:pos x="356" y="30"/>
                                    </a:cxn>
                                    <a:cxn ang="0">
                                      <a:pos x="200" y="301"/>
                                    </a:cxn>
                                    <a:cxn ang="0">
                                      <a:pos x="166" y="301"/>
                                    </a:cxn>
                                    <a:cxn ang="0">
                                      <a:pos x="9" y="30"/>
                                    </a:cxn>
                                    <a:cxn ang="0">
                                      <a:pos x="26" y="0"/>
                                    </a:cxn>
                                    <a:cxn ang="0">
                                      <a:pos x="339" y="0"/>
                                    </a:cxn>
                                  </a:cxnLst>
                                  <a:rect l="0" t="0" r="r" b="b"/>
                                  <a:pathLst>
                                    <a:path w="366" h="317">
                                      <a:moveTo>
                                        <a:pt x="339" y="0"/>
                                      </a:moveTo>
                                      <a:cubicBezTo>
                                        <a:pt x="358" y="0"/>
                                        <a:pt x="366" y="14"/>
                                        <a:pt x="356" y="30"/>
                                      </a:cubicBezTo>
                                      <a:cubicBezTo>
                                        <a:pt x="200" y="301"/>
                                        <a:pt x="200" y="301"/>
                                        <a:pt x="200" y="301"/>
                                      </a:cubicBezTo>
                                      <a:cubicBezTo>
                                        <a:pt x="190" y="317"/>
                                        <a:pt x="175" y="317"/>
                                        <a:pt x="166" y="301"/>
                                      </a:cubicBezTo>
                                      <a:cubicBezTo>
                                        <a:pt x="9" y="30"/>
                                        <a:pt x="9" y="30"/>
                                        <a:pt x="9" y="30"/>
                                      </a:cubicBezTo>
                                      <a:cubicBezTo>
                                        <a:pt x="0" y="14"/>
                                        <a:pt x="8" y="0"/>
                                        <a:pt x="26" y="0"/>
                                      </a:cubicBezTo>
                                      <a:lnTo>
                                        <a:pt x="339" y="0"/>
                                      </a:lnTo>
                                      <a:close/>
                                    </a:path>
                                  </a:pathLst>
                                </a:custGeom>
                                <a:solidFill>
                                  <a:srgbClr val="FFFF00"/>
                                </a:solidFill>
                                <a:ln w="9525" cap="flat" cmpd="sng">
                                  <a:noFill/>
                                  <a:prstDash val="solid"/>
                                  <a:miter lim="800000"/>
                                  <a:headEnd type="none" w="med" len="med"/>
                                  <a:tailEnd type="none" w="med" len="med"/>
                                </a:ln>
                                <a:effectLst/>
                              </wps:spPr>
                              <wps:bodyPr wrap="square"/>
                            </wps:wsp>
                            <wps:wsp>
                              <wps:cNvPr id="4" name="Textfeld 202"/>
                              <wps:cNvSpPr txBox="1"/>
                              <wps:spPr bwMode="gray">
                                <a:xfrm>
                                  <a:off x="265015" y="3245"/>
                                  <a:ext cx="161290" cy="620219"/>
                                </a:xfrm>
                                <a:prstGeom prst="rect">
                                  <a:avLst/>
                                </a:prstGeom>
                                <a:noFill/>
                                <a:ln>
                                  <a:noFill/>
                                </a:ln>
                              </wps:spPr>
                              <wps:txbx>
                                <w:txbxContent>
                                  <w:p w14:paraId="52353198" w14:textId="77777777" w:rsidR="006136D1" w:rsidRPr="007C3A0D" w:rsidRDefault="006136D1" w:rsidP="006136D1">
                                    <w:pPr>
                                      <w:pStyle w:val="NormalWeb"/>
                                      <w:spacing w:before="0" w:beforeAutospacing="0" w:after="0" w:afterAutospacing="0"/>
                                      <w:rPr>
                                        <w:sz w:val="16"/>
                                        <w:szCs w:val="56"/>
                                      </w:rPr>
                                    </w:pPr>
                                    <w:r w:rsidRPr="007C3A0D">
                                      <w:rPr>
                                        <w:rFonts w:asciiTheme="minorHAnsi" w:hAnsi="Calibri" w:cstheme="minorBidi"/>
                                        <w:b/>
                                        <w:bCs/>
                                        <w:sz w:val="40"/>
                                        <w:szCs w:val="56"/>
                                        <w:lang w:val="en-US"/>
                                      </w:rPr>
                                      <w: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806D1C7" id="Group 2" o:spid="_x0000_s1037" style="position:absolute;left:0;text-align:left;margin-left:4.7pt;margin-top:3.1pt;width:32.25pt;height:26.25pt;z-index:251658243;mso-position-horizontal-relative:margin;mso-width-relative:margin;mso-height-relative:margin" coordorigin=",32" coordsize="666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">
                      <v:shape id="Freeform 5" o:spid="_x0000_s1038" alt="© INSCALE GmbH, 26.05.2010&#10;http://www.presentationload.com/" style="position:absolute;top:159;width:6667;height:5257;rotation:180;visibility:visible;mso-wrap-style:square;v-text-anchor:top" coordsize="366,317"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" path="m339,v19,,27,14,17,30c200,301,200,301,200,301v-10,16,-25,16,-34,c9,30,9,30,9,30,,14,8,,26,l339,xe" fillcolor="yellow" stroked="f">
                        <v:stroke joinstyle="miter"/>
                        <v:path arrowok="t" o:connecttype="custom" o:connectlocs="339,0;356,30;200,301;166,301;9,30;26,0;339,0" o:connectangles="0,0,0,0,0,0,0"/>
                        <o:lock v:ext="edit" aspectratio="t"/>
                      </v:shape>
                      <v:shape id="Textfeld 202" o:spid="_x0000_s1039" type="#_x0000_t202" style="position:absolute;left:2650;top:32;width:1613;height:6202;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" filled="f" stroked="f">
                        <v:textbox inset="0,0,0,0">
                          <w:txbxContent>
                            <w:p w14:paraId="52353198" w14:textId="77777777" w:rsidR="006136D1" w:rsidRPr="007C3A0D" w:rsidRDefault="006136D1" w:rsidP="006136D1">
                              <w:pPr>
                                <w:pStyle w:val="NormalWeb"/>
                                <w:spacing w:before="0" w:beforeAutospacing="0" w:after="0" w:afterAutospacing="0"/>
                                <w:rPr>
                                  <w:sz w:val="16"/>
                                  <w:szCs w:val="56"/>
                                </w:rPr>
                              </w:pPr>
                              <w:r w:rsidRPr="007C3A0D">
                                <w:rPr>
                                  <w:rFonts w:asciiTheme="minorHAnsi" w:hAnsi="Calibri" w:cstheme="minorBidi"/>
                                  <w:b/>
                                  <w:bCs/>
                                  <w:sz w:val="40"/>
                                  <w:szCs w:val="56"/>
                                  <w:lang w:val="en-US"/>
                                </w:rPr>
                                <w:t>!</w:t>
                              </w:r>
                            </w:p>
                          </w:txbxContent>
                        </v:textbox>
                      </v:shape>
                      <w10:wrap anchorx="margin"/>
                    </v:group>
                  </w:pict>
                </mc:Fallback>
              </mc:AlternateContent>
            </w:r>
            <w:r w:rsidR="00437BBC" w:rsidRPr="00F44448">
              <w:rPr>
                <w:i/>
                <w:color w:val="FFFFFF" w:themeColor="background1"/>
                <w:sz w:val="18"/>
                <w:szCs w:val="18"/>
              </w:rPr>
              <w:t xml:space="preserve">Ο </w:t>
            </w:r>
            <w:r w:rsidR="002876E5" w:rsidRPr="00F44448">
              <w:rPr>
                <w:i/>
                <w:color w:val="FFFFFF" w:themeColor="background1"/>
                <w:sz w:val="18"/>
                <w:szCs w:val="18"/>
              </w:rPr>
              <w:t xml:space="preserve">δείκτης κινδύνου βασίζεται στην παραδοχή ότι θα διακρατήσετε το </w:t>
            </w:r>
            <w:r w:rsidR="00074333" w:rsidRPr="00382CE0">
              <w:rPr>
                <w:i/>
                <w:color w:val="FFFFFF" w:themeColor="background1"/>
                <w:sz w:val="18"/>
                <w:szCs w:val="18"/>
              </w:rPr>
              <w:t xml:space="preserve"> Αμοιβαίο Κεφάλαιο </w:t>
            </w:r>
            <w:r w:rsidR="002876E5" w:rsidRPr="00F44448">
              <w:rPr>
                <w:i/>
                <w:color w:val="FFFFFF" w:themeColor="background1"/>
                <w:sz w:val="18"/>
                <w:szCs w:val="18"/>
              </w:rPr>
              <w:t xml:space="preserve">για </w:t>
            </w:r>
            <w:r w:rsidR="000D2168" w:rsidRPr="000D2168">
              <w:rPr>
                <w:i/>
                <w:color w:val="FFFFFF" w:themeColor="background1"/>
                <w:sz w:val="18"/>
                <w:szCs w:val="18"/>
              </w:rPr>
              <w:t>5</w:t>
            </w:r>
            <w:r w:rsidR="002876E5" w:rsidRPr="00F44448">
              <w:rPr>
                <w:i/>
                <w:color w:val="FFFFFF" w:themeColor="background1"/>
                <w:sz w:val="18"/>
                <w:szCs w:val="18"/>
              </w:rPr>
              <w:t xml:space="preserve"> έτη</w:t>
            </w:r>
            <w:r w:rsidR="007A2B86" w:rsidRPr="00F44448">
              <w:rPr>
                <w:i/>
                <w:color w:val="FFFFFF" w:themeColor="background1"/>
                <w:sz w:val="18"/>
                <w:szCs w:val="18"/>
              </w:rPr>
              <w:t xml:space="preserve">. </w:t>
            </w:r>
            <w:r w:rsidR="002876E5" w:rsidRPr="00F44448">
              <w:rPr>
                <w:i/>
                <w:color w:val="FFFFFF" w:themeColor="background1"/>
                <w:sz w:val="18"/>
                <w:szCs w:val="18"/>
              </w:rPr>
              <w:t xml:space="preserve">Ο πραγματικός κίνδυνος μπορεί να παρουσιάσει σημαντική διακύμανση σε περίπτωση που ρευστοποιήσετε σε πρώιμο στάδιο και μπορεί να εισπράξετε λιγότερα. </w:t>
            </w:r>
            <w:r w:rsidR="00B753AF" w:rsidRPr="00B753AF">
              <w:rPr>
                <w:i/>
                <w:color w:val="FFFFFF" w:themeColor="background1"/>
                <w:sz w:val="18"/>
                <w:szCs w:val="18"/>
              </w:rPr>
              <w:t>Μπορεί να μην είστε σε θέση να πωλήσετε  το προϊόν σας εύκολα ή μπορεί να αναγκαστείτε να πωλήσετε σε τιμή η οποία θα επηρεάσει σημαντικά το πόσα χρήματα θα σας επιστραφούν.</w:t>
            </w:r>
          </w:p>
          <w:p w14:paraId="6B04AE5B" w14:textId="676A5E0D" w:rsidR="009E1546" w:rsidRPr="00F44448" w:rsidRDefault="009E1546" w:rsidP="0074147F">
            <w:pPr>
              <w:ind w:left="851" w:right="-1"/>
              <w:jc w:val="both"/>
              <w:rPr>
                <w:i/>
                <w:color w:val="FFFFFF" w:themeColor="background1"/>
                <w:sz w:val="18"/>
                <w:szCs w:val="18"/>
              </w:rPr>
            </w:pPr>
          </w:p>
        </w:tc>
      </w:tr>
      <w:tr w:rsidR="006277CC" w14:paraId="7D99F8B4" w14:textId="77777777" w:rsidTr="0074147F">
        <w:trPr>
          <w:trHeight w:val="20"/>
        </w:trPr>
        <w:tc>
          <w:tcPr>
            <w:tcW w:w="11341" w:type="dxa"/>
            <w:gridSpan w:val="3"/>
            <w:tcBorders>
              <w:top w:val="nil"/>
              <w:left w:val="nil"/>
              <w:bottom w:val="nil"/>
              <w:right w:val="nil"/>
            </w:tcBorders>
          </w:tcPr>
          <w:p w14:paraId="542170A6" w14:textId="0B96BA20" w:rsidR="00645A1F" w:rsidRDefault="002876E5" w:rsidP="0074147F">
            <w:pPr>
              <w:spacing w:before="120"/>
              <w:jc w:val="both"/>
              <w:rPr>
                <w:sz w:val="18"/>
                <w:szCs w:val="18"/>
              </w:rPr>
            </w:pPr>
            <w:r w:rsidRPr="00770FA6">
              <w:rPr>
                <w:sz w:val="18"/>
                <w:szCs w:val="18"/>
              </w:rPr>
              <w:t xml:space="preserve">Ο συνοπτικός δείκτης κινδύνου είναι ένας οδηγός για το επίπεδο κινδύνου αυτού </w:t>
            </w:r>
            <w:r w:rsidR="00074333" w:rsidRPr="00770FA6">
              <w:rPr>
                <w:sz w:val="18"/>
                <w:szCs w:val="18"/>
              </w:rPr>
              <w:t xml:space="preserve"> του </w:t>
            </w:r>
            <w:r w:rsidR="00D77F69">
              <w:rPr>
                <w:sz w:val="18"/>
                <w:szCs w:val="18"/>
              </w:rPr>
              <w:t>προϊόντος</w:t>
            </w:r>
            <w:r w:rsidR="00074333" w:rsidRPr="00770FA6">
              <w:rPr>
                <w:sz w:val="18"/>
                <w:szCs w:val="18"/>
              </w:rPr>
              <w:t xml:space="preserve"> </w:t>
            </w:r>
            <w:r w:rsidRPr="00770FA6">
              <w:rPr>
                <w:sz w:val="18"/>
                <w:szCs w:val="18"/>
              </w:rPr>
              <w:t>σε σύγκριση με άλλα προϊόντα</w:t>
            </w:r>
            <w:r w:rsidRPr="000A6BB5">
              <w:rPr>
                <w:sz w:val="18"/>
                <w:szCs w:val="18"/>
              </w:rPr>
              <w:t xml:space="preserve">. </w:t>
            </w:r>
            <w:r w:rsidR="000A6BB5" w:rsidRPr="000A6BB5">
              <w:rPr>
                <w:sz w:val="18"/>
                <w:szCs w:val="18"/>
              </w:rPr>
              <w:t>Δείχνει πόσο πιθανό είναι το προϊόν να χάσει χρήματα λόγω κινήσεων στις αγορές ή διότι δεν είμαστε σε θέση να σας πληρώσουμε.</w:t>
            </w:r>
            <w:r w:rsidR="000A6BB5">
              <w:rPr>
                <w:sz w:val="18"/>
                <w:szCs w:val="18"/>
              </w:rPr>
              <w:t xml:space="preserve"> </w:t>
            </w:r>
            <w:r w:rsidR="009E1546" w:rsidRPr="009E1546">
              <w:rPr>
                <w:sz w:val="18"/>
                <w:szCs w:val="18"/>
              </w:rPr>
              <w:t xml:space="preserve">Σε μια κλίμακα απόδοσης κινδύνου από το 1 έως το 7, έχουμε κατατάξει το Αμοιβαίο Κεφάλαιο στο </w:t>
            </w:r>
            <w:r w:rsidR="000249EB">
              <w:rPr>
                <w:sz w:val="18"/>
                <w:szCs w:val="18"/>
              </w:rPr>
              <w:t>4</w:t>
            </w:r>
            <w:r w:rsidR="00FA1589">
              <w:rPr>
                <w:sz w:val="18"/>
                <w:szCs w:val="18"/>
              </w:rPr>
              <w:t>,</w:t>
            </w:r>
            <w:r w:rsidR="009E1546" w:rsidRPr="009E1546">
              <w:rPr>
                <w:sz w:val="18"/>
                <w:szCs w:val="18"/>
              </w:rPr>
              <w:t xml:space="preserve"> το οποίο είναι κατηγορία κινδύνου «μεσαία». </w:t>
            </w:r>
            <w:r w:rsidR="000D6C71" w:rsidRPr="00770FA6">
              <w:rPr>
                <w:sz w:val="18"/>
                <w:szCs w:val="18"/>
              </w:rPr>
              <w:t xml:space="preserve">Η κατάταξη αυτή </w:t>
            </w:r>
            <w:r w:rsidR="00B502D2" w:rsidRPr="00B502D2">
              <w:rPr>
                <w:sz w:val="18"/>
                <w:szCs w:val="18"/>
              </w:rPr>
              <w:t>βαθμολογεί ως «μεσαία» την πιθανότητα ζημιών από τις μελλοντικές επιδόσεις του Αμοιβαίου Κεφαλαίου και κακές συνθήκες της αγοράς είναι πολύ απίθανο να έχουν αντίκτυπο στην ικανότητα του Αμοιβαίου Κεφαλαίου, νομίμως εκπροσωπούμενου, να σας πληρώσει μέσω του Θεματοφύλακά του</w:t>
            </w:r>
            <w:r w:rsidR="000D6C71" w:rsidRPr="00770FA6">
              <w:rPr>
                <w:sz w:val="18"/>
                <w:szCs w:val="18"/>
              </w:rPr>
              <w:t xml:space="preserve">. </w:t>
            </w:r>
            <w:r w:rsidR="007B1209" w:rsidRPr="00770FA6">
              <w:rPr>
                <w:sz w:val="18"/>
                <w:szCs w:val="18"/>
              </w:rPr>
              <w:t>Άλλοι κίνδυνοι που συνδέονται ουσιωδώς με το</w:t>
            </w:r>
            <w:r w:rsidR="00074333" w:rsidRPr="00770FA6">
              <w:rPr>
                <w:sz w:val="18"/>
                <w:szCs w:val="18"/>
              </w:rPr>
              <w:t xml:space="preserve"> Αμοιβαίο Κεφάλαιο</w:t>
            </w:r>
            <w:r w:rsidR="007B1209" w:rsidRPr="00770FA6">
              <w:rPr>
                <w:sz w:val="18"/>
                <w:szCs w:val="18"/>
              </w:rPr>
              <w:t xml:space="preserve"> οι οποίοι δεν περιλαμβάνονται στο συνοπτικό δείκτη κινδύνου</w:t>
            </w:r>
            <w:r w:rsidR="00FA1589">
              <w:rPr>
                <w:sz w:val="18"/>
                <w:szCs w:val="18"/>
              </w:rPr>
              <w:t>,</w:t>
            </w:r>
            <w:r w:rsidR="007B1209" w:rsidRPr="00770FA6">
              <w:rPr>
                <w:sz w:val="18"/>
                <w:szCs w:val="18"/>
              </w:rPr>
              <w:t xml:space="preserve"> είναι</w:t>
            </w:r>
            <w:r w:rsidR="00B753AF">
              <w:rPr>
                <w:sz w:val="18"/>
                <w:szCs w:val="18"/>
              </w:rPr>
              <w:t xml:space="preserve"> </w:t>
            </w:r>
            <w:r w:rsidR="00B753AF" w:rsidRPr="00B753AF">
              <w:rPr>
                <w:sz w:val="18"/>
                <w:szCs w:val="18"/>
              </w:rPr>
              <w:t xml:space="preserve">ο κίνδυνος ρευστότητας, </w:t>
            </w:r>
            <w:r w:rsidR="002B2672" w:rsidRPr="002B2672">
              <w:rPr>
                <w:sz w:val="18"/>
                <w:szCs w:val="18"/>
              </w:rPr>
              <w:t xml:space="preserve">δηλαδή ο κίνδυνος ορισμένα στοιχεία του ενεργητικού του Αμοιβαίου Κεφαλαίου να μην μπορούν να ρευστοποιηθούν κατά τον επιθυμητό χρόνο ή με περιορισμένο κόστος προκειμένου το Αμοιβαίο Κεφάλαιο να συμμορφώνεται ανά πάσα στιγμή με τις υποχρεώσεις εξαγοράς μεριδίων </w:t>
            </w:r>
            <w:r w:rsidR="00B753AF">
              <w:rPr>
                <w:sz w:val="18"/>
                <w:szCs w:val="18"/>
              </w:rPr>
              <w:t>και</w:t>
            </w:r>
            <w:r w:rsidR="00B502D2">
              <w:t xml:space="preserve"> </w:t>
            </w:r>
            <w:r w:rsidR="00B502D2" w:rsidRPr="00B502D2">
              <w:rPr>
                <w:sz w:val="18"/>
                <w:szCs w:val="18"/>
              </w:rPr>
              <w:t>ο λειτουργικός κίνδυνος δηλαδή ο κίνδυνος εμφάνισης ζημιών για το Αμοιβαίο Κεφάλαιο που ενδέχεται να προκύψουν από ανθρώπινα λάθη ή παραλείψεις, διαδικαστικά σφάλματα, αστοχίες του συστήματος ή εξωτερικά γεγονότα, συμπεριλαμβανομένων κινδύνων που σχετίζονται με τη φύλαξη των στοιχείων του ενεργητικού του Αμοιβαίου Κεφαλαίου</w:t>
            </w:r>
            <w:r w:rsidR="007B1209" w:rsidRPr="00770FA6">
              <w:rPr>
                <w:sz w:val="18"/>
                <w:szCs w:val="18"/>
              </w:rPr>
              <w:t xml:space="preserve">. </w:t>
            </w:r>
            <w:r w:rsidR="00074333" w:rsidRPr="00770FA6">
              <w:rPr>
                <w:sz w:val="18"/>
                <w:szCs w:val="18"/>
              </w:rPr>
              <w:t>Τ</w:t>
            </w:r>
            <w:r w:rsidRPr="00770FA6">
              <w:rPr>
                <w:sz w:val="18"/>
                <w:szCs w:val="18"/>
              </w:rPr>
              <w:t xml:space="preserve">ο </w:t>
            </w:r>
            <w:r w:rsidR="00074333" w:rsidRPr="00770FA6">
              <w:rPr>
                <w:sz w:val="18"/>
                <w:szCs w:val="18"/>
              </w:rPr>
              <w:t>Αμοιβαίο Κεφάλαιο</w:t>
            </w:r>
            <w:r w:rsidRPr="00770FA6">
              <w:rPr>
                <w:sz w:val="18"/>
                <w:szCs w:val="18"/>
              </w:rPr>
              <w:t xml:space="preserve"> δεν περιλαμβάνει προστασία από τις μελλοντικές επιδόσεις της αγοράς, επομένως θα μπορούσατε να χάσετε ένα μέρος ή ολόκληρη την επένδυσή σας.</w:t>
            </w:r>
          </w:p>
          <w:p w14:paraId="12C0692B" w14:textId="77777777" w:rsidR="009E1546" w:rsidRPr="009E1546" w:rsidRDefault="009E1546" w:rsidP="0074147F">
            <w:pPr>
              <w:spacing w:line="120" w:lineRule="auto"/>
              <w:jc w:val="both"/>
              <w:rPr>
                <w:sz w:val="10"/>
                <w:szCs w:val="10"/>
              </w:rPr>
            </w:pPr>
          </w:p>
          <w:p w14:paraId="38ADC637" w14:textId="62C23DF2" w:rsidR="009E1546" w:rsidRPr="00770FA6" w:rsidRDefault="009E1546" w:rsidP="0074147F">
            <w:pPr>
              <w:jc w:val="both"/>
              <w:rPr>
                <w:sz w:val="18"/>
                <w:szCs w:val="18"/>
              </w:rPr>
            </w:pPr>
          </w:p>
        </w:tc>
      </w:tr>
      <w:tr w:rsidR="009A34D0" w14:paraId="16DE1490" w14:textId="77777777" w:rsidTr="0074147F">
        <w:trPr>
          <w:trHeight w:val="20"/>
        </w:trPr>
        <w:tc>
          <w:tcPr>
            <w:tcW w:w="11341" w:type="dxa"/>
            <w:gridSpan w:val="3"/>
            <w:tcBorders>
              <w:top w:val="nil"/>
              <w:left w:val="nil"/>
              <w:bottom w:val="nil"/>
              <w:right w:val="nil"/>
            </w:tcBorders>
          </w:tcPr>
          <w:p w14:paraId="63ADB3F3" w14:textId="77777777" w:rsidR="00C039CD" w:rsidRDefault="00C039CD" w:rsidP="0074147F">
            <w:pPr>
              <w:spacing w:line="72" w:lineRule="auto"/>
              <w:jc w:val="both"/>
              <w:rPr>
                <w:b/>
                <w:bCs/>
                <w:sz w:val="20"/>
                <w:szCs w:val="20"/>
              </w:rPr>
            </w:pPr>
          </w:p>
          <w:p w14:paraId="3A73F5F1" w14:textId="3971F416" w:rsidR="00BC6C1D" w:rsidRPr="00770FA6" w:rsidRDefault="00BC6C1D" w:rsidP="0074147F">
            <w:pPr>
              <w:jc w:val="both"/>
              <w:rPr>
                <w:sz w:val="20"/>
                <w:szCs w:val="20"/>
              </w:rPr>
            </w:pPr>
            <w:r w:rsidRPr="00770FA6">
              <w:rPr>
                <w:b/>
                <w:bCs/>
                <w:sz w:val="20"/>
                <w:szCs w:val="20"/>
              </w:rPr>
              <w:t xml:space="preserve">Σενάρια επίδοσης </w:t>
            </w:r>
          </w:p>
          <w:p w14:paraId="5D215C78" w14:textId="3BEFDCF4" w:rsidR="009A6C2E" w:rsidRPr="000A6BB5" w:rsidRDefault="002876E5" w:rsidP="0074147F">
            <w:pPr>
              <w:jc w:val="both"/>
              <w:rPr>
                <w:b/>
                <w:bCs/>
                <w:sz w:val="18"/>
                <w:szCs w:val="18"/>
              </w:rPr>
            </w:pPr>
            <w:r w:rsidRPr="000A6BB5">
              <w:rPr>
                <w:b/>
                <w:bCs/>
                <w:sz w:val="18"/>
                <w:szCs w:val="18"/>
              </w:rPr>
              <w:t xml:space="preserve">Το τι θα λάβετε από αυτό το </w:t>
            </w:r>
            <w:r w:rsidR="00074333" w:rsidRPr="000A6BB5">
              <w:rPr>
                <w:b/>
                <w:bCs/>
                <w:sz w:val="18"/>
                <w:szCs w:val="18"/>
              </w:rPr>
              <w:t xml:space="preserve">Αμοιβαίο Κεφάλαιο </w:t>
            </w:r>
            <w:r w:rsidRPr="000A6BB5">
              <w:rPr>
                <w:b/>
                <w:bCs/>
                <w:sz w:val="18"/>
                <w:szCs w:val="18"/>
              </w:rPr>
              <w:t>εξαρτάται από τις μελλοντικές επιδόσεις της αγοράς. Οι εξελίξεις της αγοράς στο μέλλον είναι αβέβαιες και δεν μπορούν να προβλεφθούν με ακρίβεια.</w:t>
            </w:r>
            <w:r w:rsidR="00DE068E" w:rsidRPr="000A6BB5">
              <w:rPr>
                <w:b/>
                <w:bCs/>
                <w:sz w:val="18"/>
                <w:szCs w:val="18"/>
              </w:rPr>
              <w:t xml:space="preserve"> </w:t>
            </w:r>
            <w:r w:rsidRPr="000A6BB5">
              <w:rPr>
                <w:b/>
                <w:bCs/>
                <w:sz w:val="18"/>
                <w:szCs w:val="18"/>
              </w:rPr>
              <w:t xml:space="preserve">Τα δυσμενή, μετριοπαθή και ευνοϊκά σενάρια που παρουσιάζονται είναι παραδείγματα όπου χρησιμοποιείται η χείριστη, </w:t>
            </w:r>
            <w:r w:rsidR="00F1586C">
              <w:rPr>
                <w:b/>
                <w:bCs/>
                <w:sz w:val="18"/>
                <w:szCs w:val="18"/>
              </w:rPr>
              <w:t xml:space="preserve">η </w:t>
            </w:r>
            <w:r w:rsidRPr="000A6BB5">
              <w:rPr>
                <w:b/>
                <w:bCs/>
                <w:sz w:val="18"/>
                <w:szCs w:val="18"/>
              </w:rPr>
              <w:t xml:space="preserve">μέση και </w:t>
            </w:r>
            <w:r w:rsidR="00F1586C">
              <w:rPr>
                <w:b/>
                <w:bCs/>
                <w:sz w:val="18"/>
                <w:szCs w:val="18"/>
              </w:rPr>
              <w:t xml:space="preserve">η </w:t>
            </w:r>
            <w:r w:rsidRPr="000A6BB5">
              <w:rPr>
                <w:b/>
                <w:bCs/>
                <w:sz w:val="18"/>
                <w:szCs w:val="18"/>
              </w:rPr>
              <w:t xml:space="preserve">βέλτιστη απόδοση του </w:t>
            </w:r>
            <w:r w:rsidR="00074333" w:rsidRPr="000A6BB5">
              <w:rPr>
                <w:b/>
                <w:bCs/>
                <w:sz w:val="18"/>
                <w:szCs w:val="18"/>
              </w:rPr>
              <w:t xml:space="preserve">Αμοιβαίου Κεφαλαίου </w:t>
            </w:r>
            <w:r w:rsidRPr="000A6BB5">
              <w:rPr>
                <w:b/>
                <w:bCs/>
                <w:sz w:val="18"/>
                <w:szCs w:val="18"/>
              </w:rPr>
              <w:t>τα τελευταία 1</w:t>
            </w:r>
            <w:r w:rsidR="000D2168" w:rsidRPr="000A6BB5">
              <w:rPr>
                <w:b/>
                <w:bCs/>
                <w:sz w:val="18"/>
                <w:szCs w:val="18"/>
              </w:rPr>
              <w:t>0</w:t>
            </w:r>
            <w:r w:rsidRPr="000A6BB5">
              <w:rPr>
                <w:b/>
                <w:bCs/>
                <w:sz w:val="18"/>
                <w:szCs w:val="18"/>
              </w:rPr>
              <w:t xml:space="preserve"> έτη. Οι αγορές θα μπορούσαν να</w:t>
            </w:r>
            <w:r w:rsidR="00FE5B3C" w:rsidRPr="000A6BB5">
              <w:rPr>
                <w:b/>
                <w:bCs/>
                <w:sz w:val="18"/>
                <w:szCs w:val="18"/>
              </w:rPr>
              <w:t xml:space="preserve"> </w:t>
            </w:r>
            <w:r w:rsidRPr="000A6BB5">
              <w:rPr>
                <w:b/>
                <w:bCs/>
                <w:sz w:val="18"/>
                <w:szCs w:val="18"/>
              </w:rPr>
              <w:t>αναπτυχθούν πολύ διαφορετικά στο μέλλον</w:t>
            </w:r>
            <w:r w:rsidR="004244DB" w:rsidRPr="000A6BB5">
              <w:rPr>
                <w:b/>
                <w:bCs/>
                <w:sz w:val="18"/>
                <w:szCs w:val="18"/>
              </w:rPr>
              <w:t>.</w:t>
            </w:r>
          </w:p>
          <w:p w14:paraId="0B0D435E" w14:textId="13A286FD" w:rsidR="004244DB" w:rsidRPr="00770FA6" w:rsidRDefault="004244DB" w:rsidP="0074147F">
            <w:pPr>
              <w:spacing w:line="72" w:lineRule="auto"/>
              <w:jc w:val="both"/>
              <w:rPr>
                <w:rFonts w:ascii="Calibri" w:eastAsia="Calibri" w:hAnsi="Calibri" w:cs="Times New Roman"/>
                <w:color w:val="FF0000"/>
                <w:sz w:val="18"/>
                <w:szCs w:val="18"/>
              </w:rPr>
            </w:pPr>
          </w:p>
        </w:tc>
      </w:tr>
      <w:tr w:rsidR="005E0D77" w:rsidRPr="005159F1" w14:paraId="4C4BB579"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tbl>
            <w:tblPr>
              <w:tblStyle w:val="TableGrid"/>
              <w:tblpPr w:leftFromText="180" w:rightFromText="180" w:vertAnchor="page" w:horzAnchor="margin"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2"/>
              <w:gridCol w:w="3974"/>
              <w:gridCol w:w="1842"/>
              <w:gridCol w:w="2271"/>
            </w:tblGrid>
            <w:tr w:rsidR="004244DB" w:rsidRPr="00F44448" w14:paraId="4BAA6935" w14:textId="77777777" w:rsidTr="00AF684C">
              <w:trPr>
                <w:trHeight w:val="555"/>
              </w:trPr>
              <w:tc>
                <w:tcPr>
                  <w:tcW w:w="3112" w:type="dxa"/>
                  <w:shd w:val="clear" w:color="auto" w:fill="1F497D"/>
                </w:tcPr>
                <w:p w14:paraId="242D3ED8" w14:textId="133810BC" w:rsidR="004244DB" w:rsidRPr="00B32846" w:rsidRDefault="004244DB" w:rsidP="0074147F">
                  <w:pPr>
                    <w:rPr>
                      <w:rFonts w:ascii="Calibri" w:eastAsia="Calibri" w:hAnsi="Calibri"/>
                      <w:color w:val="FFFFFF" w:themeColor="background1"/>
                      <w:sz w:val="18"/>
                      <w:szCs w:val="18"/>
                    </w:rPr>
                  </w:pPr>
                  <w:r w:rsidRPr="00B32846">
                    <w:rPr>
                      <w:rFonts w:ascii="Calibri" w:eastAsia="Calibri" w:hAnsi="Calibri"/>
                      <w:color w:val="FFFFFF" w:themeColor="background1"/>
                      <w:sz w:val="18"/>
                      <w:szCs w:val="18"/>
                    </w:rPr>
                    <w:t>Συνιστώμενη</w:t>
                  </w:r>
                  <w:r w:rsidRPr="00124909">
                    <w:rPr>
                      <w:rFonts w:ascii="Calibri" w:eastAsia="Calibri" w:hAnsi="Calibri"/>
                      <w:color w:val="FFFFFF" w:themeColor="background1"/>
                      <w:sz w:val="18"/>
                      <w:szCs w:val="18"/>
                    </w:rPr>
                    <w:t xml:space="preserve"> </w:t>
                  </w:r>
                  <w:r w:rsidRPr="00B32846">
                    <w:rPr>
                      <w:rFonts w:ascii="Calibri" w:eastAsia="Calibri" w:hAnsi="Calibri"/>
                      <w:color w:val="FFFFFF" w:themeColor="background1"/>
                      <w:sz w:val="18"/>
                      <w:szCs w:val="18"/>
                    </w:rPr>
                    <w:t>περίοδος</w:t>
                  </w:r>
                  <w:r w:rsidRPr="00124909">
                    <w:rPr>
                      <w:rFonts w:ascii="Calibri" w:eastAsia="Calibri" w:hAnsi="Calibri"/>
                      <w:color w:val="FFFFFF" w:themeColor="background1"/>
                      <w:sz w:val="18"/>
                      <w:szCs w:val="18"/>
                    </w:rPr>
                    <w:t xml:space="preserve"> </w:t>
                  </w:r>
                  <w:r w:rsidRPr="00B32846">
                    <w:rPr>
                      <w:rFonts w:ascii="Calibri" w:eastAsia="Calibri" w:hAnsi="Calibri"/>
                      <w:color w:val="FFFFFF" w:themeColor="background1"/>
                      <w:sz w:val="18"/>
                      <w:szCs w:val="18"/>
                    </w:rPr>
                    <w:t xml:space="preserve">διακράτησης: </w:t>
                  </w:r>
                </w:p>
                <w:p w14:paraId="76D0A248" w14:textId="77777777" w:rsidR="004244DB" w:rsidRPr="00B32846" w:rsidRDefault="004244DB" w:rsidP="0074147F">
                  <w:pPr>
                    <w:jc w:val="both"/>
                    <w:rPr>
                      <w:rFonts w:ascii="Calibri" w:eastAsia="Calibri" w:hAnsi="Calibri"/>
                      <w:color w:val="FFFFFF" w:themeColor="background1"/>
                      <w:sz w:val="18"/>
                      <w:szCs w:val="18"/>
                    </w:rPr>
                  </w:pPr>
                  <w:r w:rsidRPr="00B32846">
                    <w:rPr>
                      <w:rFonts w:ascii="Calibri" w:eastAsia="Calibri" w:hAnsi="Calibri"/>
                      <w:color w:val="FFFFFF" w:themeColor="background1"/>
                      <w:sz w:val="18"/>
                      <w:szCs w:val="18"/>
                    </w:rPr>
                    <w:t>Παράδειγμα επένδυσης:</w:t>
                  </w:r>
                </w:p>
              </w:tc>
              <w:tc>
                <w:tcPr>
                  <w:tcW w:w="3974" w:type="dxa"/>
                  <w:shd w:val="clear" w:color="auto" w:fill="1F497D"/>
                </w:tcPr>
                <w:p w14:paraId="0A63660B" w14:textId="5BE9A1BD" w:rsidR="004244DB" w:rsidRPr="00B32846" w:rsidRDefault="004244DB" w:rsidP="0074147F">
                  <w:pPr>
                    <w:jc w:val="both"/>
                    <w:rPr>
                      <w:rFonts w:ascii="Calibri" w:eastAsia="Calibri" w:hAnsi="Calibri"/>
                      <w:color w:val="FFFFFF" w:themeColor="background1"/>
                      <w:sz w:val="18"/>
                      <w:szCs w:val="18"/>
                    </w:rPr>
                  </w:pPr>
                  <w:r>
                    <w:rPr>
                      <w:rFonts w:ascii="Calibri" w:eastAsia="Calibri" w:hAnsi="Calibri"/>
                      <w:color w:val="FFFFFF" w:themeColor="background1"/>
                      <w:sz w:val="18"/>
                      <w:szCs w:val="18"/>
                      <w:lang w:val="en-US"/>
                    </w:rPr>
                    <w:t>5</w:t>
                  </w:r>
                  <w:r w:rsidRPr="00B32846">
                    <w:rPr>
                      <w:rFonts w:ascii="Calibri" w:eastAsia="Calibri" w:hAnsi="Calibri"/>
                      <w:color w:val="FFFFFF" w:themeColor="background1"/>
                      <w:sz w:val="18"/>
                      <w:szCs w:val="18"/>
                    </w:rPr>
                    <w:t xml:space="preserve"> έτη</w:t>
                  </w:r>
                </w:p>
                <w:p w14:paraId="7A8E7F4E" w14:textId="175C2815" w:rsidR="004244DB" w:rsidRPr="00B32846" w:rsidRDefault="004244DB" w:rsidP="0074147F">
                  <w:pPr>
                    <w:jc w:val="both"/>
                    <w:rPr>
                      <w:color w:val="FFFFFF" w:themeColor="background1"/>
                      <w:sz w:val="18"/>
                      <w:szCs w:val="18"/>
                    </w:rPr>
                  </w:pPr>
                  <w:r w:rsidRPr="00B32846">
                    <w:rPr>
                      <w:rFonts w:ascii="Calibri" w:eastAsia="Calibri" w:hAnsi="Calibri"/>
                      <w:color w:val="FFFFFF" w:themeColor="background1"/>
                      <w:sz w:val="18"/>
                      <w:szCs w:val="18"/>
                    </w:rPr>
                    <w:t>10.000 EUR</w:t>
                  </w:r>
                </w:p>
              </w:tc>
              <w:tc>
                <w:tcPr>
                  <w:tcW w:w="1842" w:type="dxa"/>
                  <w:shd w:val="clear" w:color="auto" w:fill="1F497D"/>
                </w:tcPr>
                <w:p w14:paraId="67C58D77" w14:textId="50A92547" w:rsidR="004244DB" w:rsidRPr="00B32846" w:rsidRDefault="004244DB" w:rsidP="0074147F">
                  <w:pPr>
                    <w:jc w:val="right"/>
                    <w:rPr>
                      <w:color w:val="FFFFFF" w:themeColor="background1"/>
                      <w:sz w:val="18"/>
                      <w:szCs w:val="18"/>
                    </w:rPr>
                  </w:pPr>
                  <w:r w:rsidRPr="00B32846">
                    <w:rPr>
                      <w:rFonts w:ascii="Calibri" w:eastAsia="Calibri" w:hAnsi="Calibri"/>
                      <w:color w:val="FFFFFF" w:themeColor="background1"/>
                      <w:sz w:val="18"/>
                      <w:szCs w:val="18"/>
                    </w:rPr>
                    <w:t>Εάν αποχωρήσετε έπειτα από 1 έτος</w:t>
                  </w:r>
                </w:p>
              </w:tc>
              <w:tc>
                <w:tcPr>
                  <w:tcW w:w="2271" w:type="dxa"/>
                  <w:shd w:val="clear" w:color="auto" w:fill="1F497D"/>
                </w:tcPr>
                <w:p w14:paraId="7959295D" w14:textId="77777777" w:rsidR="00FA1589" w:rsidRDefault="004244DB" w:rsidP="0074147F">
                  <w:pPr>
                    <w:jc w:val="right"/>
                    <w:rPr>
                      <w:rFonts w:ascii="Calibri" w:eastAsia="Calibri" w:hAnsi="Calibri"/>
                      <w:color w:val="FFFFFF" w:themeColor="background1"/>
                      <w:sz w:val="18"/>
                      <w:szCs w:val="18"/>
                    </w:rPr>
                  </w:pPr>
                  <w:r w:rsidRPr="00B32846">
                    <w:rPr>
                      <w:rFonts w:ascii="Calibri" w:eastAsia="Calibri" w:hAnsi="Calibri"/>
                      <w:color w:val="FFFFFF" w:themeColor="background1"/>
                      <w:sz w:val="18"/>
                      <w:szCs w:val="18"/>
                    </w:rPr>
                    <w:t>Εάν αποχωρήσετε</w:t>
                  </w:r>
                </w:p>
                <w:p w14:paraId="47B6D230" w14:textId="20084C05" w:rsidR="004244DB" w:rsidRPr="00B32846" w:rsidRDefault="004244DB" w:rsidP="0074147F">
                  <w:pPr>
                    <w:jc w:val="right"/>
                    <w:rPr>
                      <w:color w:val="FFFFFF" w:themeColor="background1"/>
                      <w:sz w:val="18"/>
                      <w:szCs w:val="18"/>
                    </w:rPr>
                  </w:pPr>
                  <w:r w:rsidRPr="00B32846">
                    <w:rPr>
                      <w:rFonts w:ascii="Calibri" w:eastAsia="Calibri" w:hAnsi="Calibri"/>
                      <w:color w:val="FFFFFF" w:themeColor="background1"/>
                      <w:sz w:val="18"/>
                      <w:szCs w:val="18"/>
                    </w:rPr>
                    <w:t xml:space="preserve"> έπειτα από </w:t>
                  </w:r>
                  <w:r w:rsidRPr="000D2168">
                    <w:rPr>
                      <w:rFonts w:ascii="Calibri" w:eastAsia="Calibri" w:hAnsi="Calibri"/>
                      <w:color w:val="FFFFFF" w:themeColor="background1"/>
                      <w:sz w:val="18"/>
                      <w:szCs w:val="18"/>
                    </w:rPr>
                    <w:t>5</w:t>
                  </w:r>
                  <w:r w:rsidRPr="00B32846">
                    <w:rPr>
                      <w:rFonts w:ascii="Calibri" w:eastAsia="Calibri" w:hAnsi="Calibri"/>
                      <w:color w:val="FFFFFF" w:themeColor="background1"/>
                      <w:sz w:val="18"/>
                      <w:szCs w:val="18"/>
                    </w:rPr>
                    <w:t xml:space="preserve"> έτη</w:t>
                  </w:r>
                </w:p>
              </w:tc>
            </w:tr>
            <w:tr w:rsidR="007C713E" w:rsidRPr="00F44448" w14:paraId="3A349523" w14:textId="77777777" w:rsidTr="00AF684C">
              <w:tc>
                <w:tcPr>
                  <w:tcW w:w="3112" w:type="dxa"/>
                  <w:shd w:val="clear" w:color="auto" w:fill="1F497D"/>
                </w:tcPr>
                <w:p w14:paraId="17A9F38A" w14:textId="77777777" w:rsidR="007C713E" w:rsidRPr="00B32846" w:rsidRDefault="007C713E" w:rsidP="0074147F">
                  <w:pPr>
                    <w:jc w:val="both"/>
                    <w:rPr>
                      <w:color w:val="FFFFFF" w:themeColor="background1"/>
                      <w:sz w:val="18"/>
                      <w:szCs w:val="18"/>
                    </w:rPr>
                  </w:pPr>
                  <w:r w:rsidRPr="00B32846">
                    <w:rPr>
                      <w:rFonts w:ascii="Calibri" w:eastAsia="Calibri" w:hAnsi="Calibri"/>
                      <w:b/>
                      <w:bCs/>
                      <w:color w:val="FFFFFF" w:themeColor="background1"/>
                      <w:sz w:val="18"/>
                      <w:szCs w:val="18"/>
                    </w:rPr>
                    <w:t xml:space="preserve">Σενάρια </w:t>
                  </w:r>
                </w:p>
              </w:tc>
              <w:tc>
                <w:tcPr>
                  <w:tcW w:w="3974" w:type="dxa"/>
                  <w:shd w:val="clear" w:color="auto" w:fill="1F497D"/>
                </w:tcPr>
                <w:p w14:paraId="6DF0B3EC" w14:textId="77777777" w:rsidR="007C713E" w:rsidRPr="00B32846" w:rsidRDefault="007C713E" w:rsidP="0074147F">
                  <w:pPr>
                    <w:jc w:val="both"/>
                    <w:rPr>
                      <w:color w:val="FFFFFF" w:themeColor="background1"/>
                      <w:sz w:val="18"/>
                      <w:szCs w:val="18"/>
                    </w:rPr>
                  </w:pPr>
                </w:p>
              </w:tc>
              <w:tc>
                <w:tcPr>
                  <w:tcW w:w="1842" w:type="dxa"/>
                  <w:shd w:val="clear" w:color="auto" w:fill="1F497D"/>
                </w:tcPr>
                <w:p w14:paraId="463346D1" w14:textId="57541B53" w:rsidR="007C713E" w:rsidRPr="00B32846" w:rsidRDefault="007C713E" w:rsidP="0074147F">
                  <w:pPr>
                    <w:jc w:val="center"/>
                    <w:rPr>
                      <w:color w:val="FFFFFF" w:themeColor="background1"/>
                      <w:sz w:val="18"/>
                      <w:szCs w:val="18"/>
                    </w:rPr>
                  </w:pPr>
                </w:p>
              </w:tc>
              <w:tc>
                <w:tcPr>
                  <w:tcW w:w="2271" w:type="dxa"/>
                  <w:shd w:val="clear" w:color="auto" w:fill="1F497D"/>
                </w:tcPr>
                <w:p w14:paraId="383090ED" w14:textId="233E89D1" w:rsidR="007C713E" w:rsidRPr="00B32846" w:rsidRDefault="007C713E" w:rsidP="0074147F">
                  <w:pPr>
                    <w:jc w:val="center"/>
                    <w:rPr>
                      <w:color w:val="FFFFFF" w:themeColor="background1"/>
                      <w:sz w:val="18"/>
                      <w:szCs w:val="18"/>
                    </w:rPr>
                  </w:pPr>
                </w:p>
              </w:tc>
            </w:tr>
            <w:tr w:rsidR="007C713E" w:rsidRPr="00F44448" w14:paraId="7B5B687F" w14:textId="77777777" w:rsidTr="00AF684C">
              <w:trPr>
                <w:trHeight w:val="595"/>
              </w:trPr>
              <w:tc>
                <w:tcPr>
                  <w:tcW w:w="3112" w:type="dxa"/>
                </w:tcPr>
                <w:p w14:paraId="0E4A2CAB" w14:textId="77777777" w:rsidR="007C713E" w:rsidRPr="00F44448" w:rsidRDefault="007C713E" w:rsidP="0074147F">
                  <w:pPr>
                    <w:rPr>
                      <w:rFonts w:ascii="Calibri" w:eastAsia="Calibri" w:hAnsi="Calibri"/>
                      <w:b/>
                      <w:bCs/>
                      <w:sz w:val="18"/>
                      <w:szCs w:val="18"/>
                    </w:rPr>
                  </w:pPr>
                </w:p>
                <w:p w14:paraId="4EA06480" w14:textId="77777777" w:rsidR="007C713E" w:rsidRPr="00F44448" w:rsidRDefault="007C713E" w:rsidP="0074147F">
                  <w:pPr>
                    <w:rPr>
                      <w:rFonts w:ascii="Calibri" w:eastAsia="Calibri" w:hAnsi="Calibri"/>
                      <w:b/>
                      <w:bCs/>
                      <w:sz w:val="18"/>
                      <w:szCs w:val="18"/>
                    </w:rPr>
                  </w:pPr>
                  <w:r w:rsidRPr="00F44448">
                    <w:rPr>
                      <w:rFonts w:ascii="Calibri" w:eastAsia="Calibri" w:hAnsi="Calibri"/>
                      <w:b/>
                      <w:bCs/>
                      <w:sz w:val="18"/>
                      <w:szCs w:val="18"/>
                    </w:rPr>
                    <w:t>Ελάχιστο</w:t>
                  </w:r>
                </w:p>
              </w:tc>
              <w:tc>
                <w:tcPr>
                  <w:tcW w:w="8087" w:type="dxa"/>
                  <w:gridSpan w:val="3"/>
                </w:tcPr>
                <w:p w14:paraId="780021D1" w14:textId="77777777" w:rsidR="00B32846" w:rsidRDefault="00B32846" w:rsidP="0074147F">
                  <w:pPr>
                    <w:jc w:val="both"/>
                    <w:rPr>
                      <w:rFonts w:ascii="Calibri" w:eastAsia="Calibri" w:hAnsi="Calibri"/>
                      <w:sz w:val="18"/>
                      <w:szCs w:val="18"/>
                    </w:rPr>
                  </w:pPr>
                </w:p>
                <w:p w14:paraId="7A3C6E2B" w14:textId="60A6BF27" w:rsidR="007C713E" w:rsidRPr="00F44448" w:rsidRDefault="007C713E" w:rsidP="0074147F">
                  <w:pPr>
                    <w:rPr>
                      <w:rFonts w:ascii="Calibri" w:eastAsia="Calibri" w:hAnsi="Calibri"/>
                      <w:sz w:val="18"/>
                      <w:szCs w:val="18"/>
                    </w:rPr>
                  </w:pPr>
                  <w:r w:rsidRPr="00F44448">
                    <w:rPr>
                      <w:rFonts w:ascii="Calibri" w:eastAsia="Calibri" w:hAnsi="Calibri"/>
                      <w:sz w:val="18"/>
                      <w:szCs w:val="18"/>
                    </w:rPr>
                    <w:t>Θα μπορούσατε να χάσετε ένα μέρος ή ολόκληρη την επένδυσή σας</w:t>
                  </w:r>
                </w:p>
              </w:tc>
            </w:tr>
            <w:tr w:rsidR="0015157E" w:rsidRPr="00F44448" w14:paraId="5490DD2B" w14:textId="77777777" w:rsidTr="00AF684C">
              <w:trPr>
                <w:trHeight w:val="293"/>
              </w:trPr>
              <w:tc>
                <w:tcPr>
                  <w:tcW w:w="3112" w:type="dxa"/>
                  <w:vMerge w:val="restart"/>
                </w:tcPr>
                <w:p w14:paraId="7CC4BA28" w14:textId="77777777" w:rsidR="0015157E" w:rsidRPr="00F44448" w:rsidRDefault="0015157E" w:rsidP="0015157E">
                  <w:pPr>
                    <w:rPr>
                      <w:rFonts w:ascii="Calibri" w:eastAsia="Calibri" w:hAnsi="Calibri"/>
                      <w:b/>
                      <w:bCs/>
                      <w:sz w:val="18"/>
                      <w:szCs w:val="18"/>
                    </w:rPr>
                  </w:pPr>
                </w:p>
                <w:p w14:paraId="222691A3" w14:textId="77777777" w:rsidR="0015157E" w:rsidRPr="00F44448" w:rsidRDefault="0015157E" w:rsidP="0015157E">
                  <w:pPr>
                    <w:rPr>
                      <w:sz w:val="18"/>
                      <w:szCs w:val="18"/>
                    </w:rPr>
                  </w:pPr>
                  <w:r w:rsidRPr="00F44448">
                    <w:rPr>
                      <w:rFonts w:ascii="Calibri" w:eastAsia="Calibri" w:hAnsi="Calibri"/>
                      <w:b/>
                      <w:bCs/>
                      <w:sz w:val="18"/>
                      <w:szCs w:val="18"/>
                    </w:rPr>
                    <w:t>Ακραίων καταστάσεων</w:t>
                  </w:r>
                </w:p>
              </w:tc>
              <w:tc>
                <w:tcPr>
                  <w:tcW w:w="3974" w:type="dxa"/>
                  <w:vMerge w:val="restart"/>
                </w:tcPr>
                <w:p w14:paraId="3CADCC7E" w14:textId="77777777" w:rsidR="0015157E" w:rsidRPr="00F44448" w:rsidRDefault="0015157E" w:rsidP="0015157E">
                  <w:pPr>
                    <w:spacing w:line="360" w:lineRule="auto"/>
                    <w:jc w:val="both"/>
                    <w:rPr>
                      <w:sz w:val="18"/>
                      <w:szCs w:val="18"/>
                    </w:rPr>
                  </w:pPr>
                  <w:r w:rsidRPr="00F44448">
                    <w:rPr>
                      <w:rFonts w:ascii="Calibri" w:eastAsia="Calibri" w:hAnsi="Calibri"/>
                      <w:sz w:val="18"/>
                      <w:szCs w:val="18"/>
                    </w:rPr>
                    <w:t>Πόσα μπορεί να σας επιστραφούν μείον το κόστος</w:t>
                  </w:r>
                </w:p>
                <w:p w14:paraId="728AD30A" w14:textId="77777777" w:rsidR="0015157E" w:rsidRPr="00F44448" w:rsidRDefault="0015157E" w:rsidP="0015157E">
                  <w:pPr>
                    <w:spacing w:line="360" w:lineRule="auto"/>
                    <w:jc w:val="both"/>
                    <w:rPr>
                      <w:sz w:val="18"/>
                      <w:szCs w:val="18"/>
                    </w:rPr>
                  </w:pPr>
                  <w:r w:rsidRPr="00F44448">
                    <w:rPr>
                      <w:rFonts w:ascii="Calibri" w:eastAsia="Calibri" w:hAnsi="Calibri"/>
                      <w:sz w:val="18"/>
                      <w:szCs w:val="18"/>
                    </w:rPr>
                    <w:t>Μέση απόδοση κάθε έτος</w:t>
                  </w:r>
                </w:p>
              </w:tc>
              <w:tc>
                <w:tcPr>
                  <w:tcW w:w="1842" w:type="dxa"/>
                  <w:vAlign w:val="center"/>
                </w:tcPr>
                <w:p w14:paraId="52CF1B98" w14:textId="562CAE98"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4.610 €</w:t>
                  </w:r>
                </w:p>
              </w:tc>
              <w:tc>
                <w:tcPr>
                  <w:tcW w:w="2271" w:type="dxa"/>
                  <w:vAlign w:val="center"/>
                </w:tcPr>
                <w:p w14:paraId="6E6284E3" w14:textId="108E99B6"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3.490 €</w:t>
                  </w:r>
                </w:p>
              </w:tc>
            </w:tr>
            <w:tr w:rsidR="0015157E" w:rsidRPr="00F44448" w14:paraId="42CFD4A6" w14:textId="77777777" w:rsidTr="00AF684C">
              <w:tc>
                <w:tcPr>
                  <w:tcW w:w="3112" w:type="dxa"/>
                  <w:vMerge/>
                </w:tcPr>
                <w:p w14:paraId="54819941" w14:textId="77777777" w:rsidR="0015157E" w:rsidRPr="00F44448" w:rsidRDefault="0015157E" w:rsidP="0015157E">
                  <w:pPr>
                    <w:rPr>
                      <w:sz w:val="18"/>
                      <w:szCs w:val="18"/>
                    </w:rPr>
                  </w:pPr>
                </w:p>
              </w:tc>
              <w:tc>
                <w:tcPr>
                  <w:tcW w:w="3974" w:type="dxa"/>
                  <w:vMerge/>
                </w:tcPr>
                <w:p w14:paraId="0AE13C44" w14:textId="77777777" w:rsidR="0015157E" w:rsidRPr="00F44448" w:rsidRDefault="0015157E" w:rsidP="0015157E">
                  <w:pPr>
                    <w:spacing w:line="360" w:lineRule="auto"/>
                    <w:jc w:val="both"/>
                    <w:rPr>
                      <w:sz w:val="18"/>
                      <w:szCs w:val="18"/>
                    </w:rPr>
                  </w:pPr>
                </w:p>
              </w:tc>
              <w:tc>
                <w:tcPr>
                  <w:tcW w:w="1842" w:type="dxa"/>
                  <w:vAlign w:val="center"/>
                </w:tcPr>
                <w:p w14:paraId="7DD1B485" w14:textId="381DCFDF"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-53,9%</w:t>
                  </w:r>
                </w:p>
              </w:tc>
              <w:tc>
                <w:tcPr>
                  <w:tcW w:w="2271" w:type="dxa"/>
                  <w:vAlign w:val="center"/>
                </w:tcPr>
                <w:p w14:paraId="71075EE1" w14:textId="58478F55"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-19,0%</w:t>
                  </w:r>
                </w:p>
              </w:tc>
            </w:tr>
            <w:tr w:rsidR="0015157E" w:rsidRPr="00F44448" w14:paraId="2B77BEDE" w14:textId="77777777" w:rsidTr="00AF684C">
              <w:trPr>
                <w:trHeight w:val="351"/>
              </w:trPr>
              <w:tc>
                <w:tcPr>
                  <w:tcW w:w="3112" w:type="dxa"/>
                  <w:vMerge w:val="restart"/>
                </w:tcPr>
                <w:p w14:paraId="3A1DC856" w14:textId="77777777" w:rsidR="0015157E" w:rsidRPr="00F44448" w:rsidRDefault="0015157E" w:rsidP="0015157E">
                  <w:pPr>
                    <w:rPr>
                      <w:rFonts w:ascii="Calibri" w:eastAsia="Calibri" w:hAnsi="Calibri"/>
                      <w:b/>
                      <w:bCs/>
                      <w:sz w:val="18"/>
                      <w:szCs w:val="18"/>
                    </w:rPr>
                  </w:pPr>
                </w:p>
                <w:p w14:paraId="239B5187" w14:textId="381E4949" w:rsidR="0015157E" w:rsidRPr="00F44448" w:rsidRDefault="0015157E" w:rsidP="0015157E">
                  <w:pPr>
                    <w:rPr>
                      <w:sz w:val="18"/>
                      <w:szCs w:val="18"/>
                    </w:rPr>
                  </w:pPr>
                  <w:r w:rsidRPr="00F44448">
                    <w:rPr>
                      <w:rFonts w:ascii="Calibri" w:eastAsia="Calibri" w:hAnsi="Calibri"/>
                      <w:b/>
                      <w:bCs/>
                      <w:sz w:val="18"/>
                      <w:szCs w:val="18"/>
                    </w:rPr>
                    <w:t>Δυσμενές</w:t>
                  </w:r>
                </w:p>
              </w:tc>
              <w:tc>
                <w:tcPr>
                  <w:tcW w:w="3974" w:type="dxa"/>
                  <w:vMerge w:val="restart"/>
                </w:tcPr>
                <w:p w14:paraId="18936A0F" w14:textId="77777777" w:rsidR="0015157E" w:rsidRPr="00F44448" w:rsidRDefault="0015157E" w:rsidP="0015157E">
                  <w:pPr>
                    <w:spacing w:line="360" w:lineRule="auto"/>
                    <w:jc w:val="both"/>
                    <w:rPr>
                      <w:sz w:val="18"/>
                      <w:szCs w:val="18"/>
                    </w:rPr>
                  </w:pPr>
                  <w:r w:rsidRPr="00F44448">
                    <w:rPr>
                      <w:rFonts w:ascii="Calibri" w:eastAsia="Calibri" w:hAnsi="Calibri"/>
                      <w:sz w:val="18"/>
                      <w:szCs w:val="18"/>
                    </w:rPr>
                    <w:t>Πόσα μπορεί να σας επιστραφούν μείον το κόστος</w:t>
                  </w:r>
                </w:p>
                <w:p w14:paraId="6A5875E6" w14:textId="77777777" w:rsidR="0015157E" w:rsidRPr="00F44448" w:rsidRDefault="0015157E" w:rsidP="0015157E">
                  <w:pPr>
                    <w:spacing w:line="360" w:lineRule="auto"/>
                    <w:jc w:val="both"/>
                    <w:rPr>
                      <w:sz w:val="18"/>
                      <w:szCs w:val="18"/>
                    </w:rPr>
                  </w:pPr>
                  <w:r w:rsidRPr="00F44448">
                    <w:rPr>
                      <w:rFonts w:ascii="Calibri" w:eastAsia="Calibri" w:hAnsi="Calibri"/>
                      <w:sz w:val="18"/>
                      <w:szCs w:val="18"/>
                    </w:rPr>
                    <w:t>Μέση απόδοση κάθε έτος</w:t>
                  </w:r>
                </w:p>
              </w:tc>
              <w:tc>
                <w:tcPr>
                  <w:tcW w:w="1842" w:type="dxa"/>
                  <w:vAlign w:val="center"/>
                </w:tcPr>
                <w:p w14:paraId="5EAFD816" w14:textId="5BE71103"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9.840 €</w:t>
                  </w:r>
                </w:p>
              </w:tc>
              <w:tc>
                <w:tcPr>
                  <w:tcW w:w="2271" w:type="dxa"/>
                  <w:vAlign w:val="center"/>
                </w:tcPr>
                <w:p w14:paraId="1B01B489" w14:textId="19F2360C"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9.240 €</w:t>
                  </w:r>
                </w:p>
              </w:tc>
            </w:tr>
            <w:tr w:rsidR="0015157E" w:rsidRPr="00F44448" w14:paraId="0870F0DA" w14:textId="77777777" w:rsidTr="00AF684C">
              <w:tc>
                <w:tcPr>
                  <w:tcW w:w="3112" w:type="dxa"/>
                  <w:vMerge/>
                </w:tcPr>
                <w:p w14:paraId="2BE20EFC" w14:textId="77777777" w:rsidR="0015157E" w:rsidRPr="00F44448" w:rsidRDefault="0015157E" w:rsidP="0015157E">
                  <w:pPr>
                    <w:rPr>
                      <w:sz w:val="18"/>
                      <w:szCs w:val="18"/>
                    </w:rPr>
                  </w:pPr>
                </w:p>
              </w:tc>
              <w:tc>
                <w:tcPr>
                  <w:tcW w:w="3974" w:type="dxa"/>
                  <w:vMerge/>
                </w:tcPr>
                <w:p w14:paraId="1A65A633" w14:textId="77777777" w:rsidR="0015157E" w:rsidRPr="00F44448" w:rsidRDefault="0015157E" w:rsidP="0015157E">
                  <w:pPr>
                    <w:spacing w:line="360" w:lineRule="auto"/>
                    <w:jc w:val="both"/>
                    <w:rPr>
                      <w:sz w:val="18"/>
                      <w:szCs w:val="18"/>
                    </w:rPr>
                  </w:pPr>
                </w:p>
              </w:tc>
              <w:tc>
                <w:tcPr>
                  <w:tcW w:w="1842" w:type="dxa"/>
                  <w:vAlign w:val="center"/>
                </w:tcPr>
                <w:p w14:paraId="48A5C566" w14:textId="58F87D9A"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-1,6%</w:t>
                  </w:r>
                </w:p>
              </w:tc>
              <w:tc>
                <w:tcPr>
                  <w:tcW w:w="2271" w:type="dxa"/>
                  <w:vAlign w:val="center"/>
                </w:tcPr>
                <w:p w14:paraId="1A92AFDA" w14:textId="12AE5CE6"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-1,6%</w:t>
                  </w:r>
                </w:p>
              </w:tc>
            </w:tr>
            <w:tr w:rsidR="0015157E" w:rsidRPr="00F44448" w14:paraId="1B5D551A" w14:textId="77777777" w:rsidTr="00AF684C">
              <w:trPr>
                <w:trHeight w:val="330"/>
              </w:trPr>
              <w:tc>
                <w:tcPr>
                  <w:tcW w:w="3112" w:type="dxa"/>
                  <w:vMerge w:val="restart"/>
                </w:tcPr>
                <w:p w14:paraId="6FD48694" w14:textId="77777777" w:rsidR="0015157E" w:rsidRPr="00F44448" w:rsidRDefault="0015157E" w:rsidP="0015157E">
                  <w:pPr>
                    <w:rPr>
                      <w:rFonts w:ascii="Calibri" w:eastAsia="Calibri" w:hAnsi="Calibri"/>
                      <w:b/>
                      <w:bCs/>
                      <w:sz w:val="18"/>
                      <w:szCs w:val="18"/>
                    </w:rPr>
                  </w:pPr>
                </w:p>
                <w:p w14:paraId="473BBC20" w14:textId="77777777" w:rsidR="0015157E" w:rsidRPr="00F44448" w:rsidRDefault="0015157E" w:rsidP="0015157E">
                  <w:pPr>
                    <w:rPr>
                      <w:sz w:val="18"/>
                      <w:szCs w:val="18"/>
                    </w:rPr>
                  </w:pPr>
                  <w:r w:rsidRPr="00F44448">
                    <w:rPr>
                      <w:rFonts w:ascii="Calibri" w:eastAsia="Calibri" w:hAnsi="Calibri"/>
                      <w:b/>
                      <w:bCs/>
                      <w:sz w:val="18"/>
                      <w:szCs w:val="18"/>
                    </w:rPr>
                    <w:t>Μετριοπαθές</w:t>
                  </w:r>
                </w:p>
              </w:tc>
              <w:tc>
                <w:tcPr>
                  <w:tcW w:w="3974" w:type="dxa"/>
                  <w:vMerge w:val="restart"/>
                </w:tcPr>
                <w:p w14:paraId="59ACE1E1" w14:textId="77777777" w:rsidR="0015157E" w:rsidRPr="00F44448" w:rsidRDefault="0015157E" w:rsidP="0015157E">
                  <w:pPr>
                    <w:spacing w:line="360" w:lineRule="auto"/>
                    <w:jc w:val="both"/>
                    <w:rPr>
                      <w:sz w:val="18"/>
                      <w:szCs w:val="18"/>
                    </w:rPr>
                  </w:pPr>
                  <w:r w:rsidRPr="00F44448">
                    <w:rPr>
                      <w:rFonts w:ascii="Calibri" w:eastAsia="Calibri" w:hAnsi="Calibri"/>
                      <w:sz w:val="18"/>
                      <w:szCs w:val="18"/>
                    </w:rPr>
                    <w:t>Πόσα μπορεί να σας επιστραφούν μείον το κόστος</w:t>
                  </w:r>
                </w:p>
                <w:p w14:paraId="58624ECD" w14:textId="77777777" w:rsidR="0015157E" w:rsidRPr="00F44448" w:rsidRDefault="0015157E" w:rsidP="0015157E">
                  <w:pPr>
                    <w:spacing w:line="360" w:lineRule="auto"/>
                    <w:jc w:val="both"/>
                    <w:rPr>
                      <w:sz w:val="18"/>
                      <w:szCs w:val="18"/>
                    </w:rPr>
                  </w:pPr>
                  <w:r w:rsidRPr="00F44448">
                    <w:rPr>
                      <w:rFonts w:ascii="Calibri" w:eastAsia="Calibri" w:hAnsi="Calibri"/>
                      <w:sz w:val="18"/>
                      <w:szCs w:val="18"/>
                    </w:rPr>
                    <w:t>Μέση απόδοση κάθε έτος</w:t>
                  </w:r>
                </w:p>
              </w:tc>
              <w:tc>
                <w:tcPr>
                  <w:tcW w:w="1842" w:type="dxa"/>
                  <w:vAlign w:val="center"/>
                </w:tcPr>
                <w:p w14:paraId="4E75F50D" w14:textId="6332DBDD"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10.180 €</w:t>
                  </w:r>
                </w:p>
              </w:tc>
              <w:tc>
                <w:tcPr>
                  <w:tcW w:w="2271" w:type="dxa"/>
                  <w:vAlign w:val="center"/>
                </w:tcPr>
                <w:p w14:paraId="1E46C0C0" w14:textId="04FA58DB"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10.940 €</w:t>
                  </w:r>
                </w:p>
              </w:tc>
            </w:tr>
            <w:tr w:rsidR="0015157E" w:rsidRPr="00F44448" w14:paraId="7CB5C0E4" w14:textId="77777777" w:rsidTr="00AF684C">
              <w:tc>
                <w:tcPr>
                  <w:tcW w:w="3112" w:type="dxa"/>
                  <w:vMerge/>
                </w:tcPr>
                <w:p w14:paraId="669687A2" w14:textId="77777777" w:rsidR="0015157E" w:rsidRPr="00F44448" w:rsidRDefault="0015157E" w:rsidP="0015157E">
                  <w:pPr>
                    <w:rPr>
                      <w:sz w:val="18"/>
                      <w:szCs w:val="18"/>
                    </w:rPr>
                  </w:pPr>
                </w:p>
              </w:tc>
              <w:tc>
                <w:tcPr>
                  <w:tcW w:w="3974" w:type="dxa"/>
                  <w:vMerge/>
                </w:tcPr>
                <w:p w14:paraId="37DE2CBE" w14:textId="77777777" w:rsidR="0015157E" w:rsidRPr="00F44448" w:rsidRDefault="0015157E" w:rsidP="0015157E">
                  <w:pPr>
                    <w:spacing w:line="360" w:lineRule="auto"/>
                    <w:jc w:val="both"/>
                    <w:rPr>
                      <w:sz w:val="18"/>
                      <w:szCs w:val="18"/>
                    </w:rPr>
                  </w:pPr>
                </w:p>
              </w:tc>
              <w:tc>
                <w:tcPr>
                  <w:tcW w:w="1842" w:type="dxa"/>
                  <w:vAlign w:val="center"/>
                </w:tcPr>
                <w:p w14:paraId="61673529" w14:textId="25A11537"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1,8%</w:t>
                  </w:r>
                </w:p>
              </w:tc>
              <w:tc>
                <w:tcPr>
                  <w:tcW w:w="2271" w:type="dxa"/>
                  <w:vAlign w:val="center"/>
                </w:tcPr>
                <w:p w14:paraId="4F6F5251" w14:textId="222CB94D"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1,8%</w:t>
                  </w:r>
                </w:p>
              </w:tc>
            </w:tr>
            <w:tr w:rsidR="0015157E" w:rsidRPr="00F44448" w14:paraId="0F895A81" w14:textId="77777777" w:rsidTr="00AF684C">
              <w:trPr>
                <w:trHeight w:val="310"/>
              </w:trPr>
              <w:tc>
                <w:tcPr>
                  <w:tcW w:w="3112" w:type="dxa"/>
                  <w:vMerge w:val="restart"/>
                </w:tcPr>
                <w:p w14:paraId="63B5F85E" w14:textId="77777777" w:rsidR="0015157E" w:rsidRPr="00F44448" w:rsidRDefault="0015157E" w:rsidP="0015157E">
                  <w:pPr>
                    <w:rPr>
                      <w:rFonts w:ascii="Calibri" w:eastAsia="Calibri" w:hAnsi="Calibri"/>
                      <w:b/>
                      <w:bCs/>
                      <w:sz w:val="18"/>
                      <w:szCs w:val="18"/>
                    </w:rPr>
                  </w:pPr>
                </w:p>
                <w:p w14:paraId="57060CA2" w14:textId="7CEE40D2" w:rsidR="0015157E" w:rsidRPr="00F44448" w:rsidRDefault="0015157E" w:rsidP="0015157E">
                  <w:pPr>
                    <w:rPr>
                      <w:sz w:val="18"/>
                      <w:szCs w:val="18"/>
                    </w:rPr>
                  </w:pPr>
                  <w:r w:rsidRPr="00F44448">
                    <w:rPr>
                      <w:rFonts w:ascii="Calibri" w:eastAsia="Calibri" w:hAnsi="Calibri"/>
                      <w:b/>
                      <w:bCs/>
                      <w:sz w:val="18"/>
                      <w:szCs w:val="18"/>
                    </w:rPr>
                    <w:t>Ευνοϊκό</w:t>
                  </w:r>
                </w:p>
              </w:tc>
              <w:tc>
                <w:tcPr>
                  <w:tcW w:w="3974" w:type="dxa"/>
                  <w:vMerge w:val="restart"/>
                </w:tcPr>
                <w:p w14:paraId="1E1F7E91" w14:textId="77777777" w:rsidR="0015157E" w:rsidRPr="00F44448" w:rsidRDefault="0015157E" w:rsidP="0015157E">
                  <w:pPr>
                    <w:spacing w:line="360" w:lineRule="auto"/>
                    <w:jc w:val="both"/>
                    <w:rPr>
                      <w:rFonts w:ascii="Calibri" w:eastAsia="Calibri" w:hAnsi="Calibri"/>
                      <w:sz w:val="18"/>
                      <w:szCs w:val="18"/>
                    </w:rPr>
                  </w:pPr>
                  <w:r w:rsidRPr="00F44448">
                    <w:rPr>
                      <w:rFonts w:ascii="Calibri" w:eastAsia="Calibri" w:hAnsi="Calibri"/>
                      <w:sz w:val="18"/>
                      <w:szCs w:val="18"/>
                    </w:rPr>
                    <w:t>Πόσα μπορεί να σας επιστραφούν μείον το κόστος</w:t>
                  </w:r>
                </w:p>
                <w:p w14:paraId="394740BD" w14:textId="77777777" w:rsidR="0015157E" w:rsidRPr="00F44448" w:rsidRDefault="0015157E" w:rsidP="0015157E">
                  <w:pPr>
                    <w:spacing w:line="360" w:lineRule="auto"/>
                    <w:jc w:val="both"/>
                    <w:rPr>
                      <w:rFonts w:ascii="Calibri" w:eastAsia="Calibri" w:hAnsi="Calibri"/>
                      <w:sz w:val="18"/>
                      <w:szCs w:val="18"/>
                    </w:rPr>
                  </w:pPr>
                  <w:r w:rsidRPr="00F44448">
                    <w:rPr>
                      <w:rFonts w:ascii="Calibri" w:eastAsia="Calibri" w:hAnsi="Calibri"/>
                      <w:sz w:val="18"/>
                      <w:szCs w:val="18"/>
                    </w:rPr>
                    <w:t>Μέση απόδοση κάθε έτος</w:t>
                  </w:r>
                </w:p>
              </w:tc>
              <w:tc>
                <w:tcPr>
                  <w:tcW w:w="1842" w:type="dxa"/>
                  <w:vAlign w:val="center"/>
                </w:tcPr>
                <w:p w14:paraId="7D8B781C" w14:textId="33AD9F52"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11.030 €</w:t>
                  </w:r>
                </w:p>
              </w:tc>
              <w:tc>
                <w:tcPr>
                  <w:tcW w:w="2271" w:type="dxa"/>
                  <w:vAlign w:val="center"/>
                </w:tcPr>
                <w:p w14:paraId="6A8BC820" w14:textId="719D3E8B"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16.350 €</w:t>
                  </w:r>
                </w:p>
              </w:tc>
            </w:tr>
            <w:tr w:rsidR="0015157E" w:rsidRPr="00F44448" w14:paraId="27C549A3" w14:textId="77777777" w:rsidTr="00AF684C">
              <w:tc>
                <w:tcPr>
                  <w:tcW w:w="3112" w:type="dxa"/>
                  <w:vMerge/>
                </w:tcPr>
                <w:p w14:paraId="2361C967" w14:textId="77777777" w:rsidR="0015157E" w:rsidRPr="00F44448" w:rsidRDefault="0015157E" w:rsidP="0015157E">
                  <w:pPr>
                    <w:jc w:val="both"/>
                    <w:rPr>
                      <w:sz w:val="18"/>
                      <w:szCs w:val="18"/>
                    </w:rPr>
                  </w:pPr>
                </w:p>
              </w:tc>
              <w:tc>
                <w:tcPr>
                  <w:tcW w:w="3974" w:type="dxa"/>
                  <w:vMerge/>
                </w:tcPr>
                <w:p w14:paraId="79783348" w14:textId="77777777" w:rsidR="0015157E" w:rsidRPr="00F44448" w:rsidRDefault="0015157E" w:rsidP="0015157E">
                  <w:pPr>
                    <w:jc w:val="both"/>
                    <w:rPr>
                      <w:rFonts w:ascii="Calibri" w:eastAsia="Calibri" w:hAnsi="Calibri"/>
                      <w:sz w:val="18"/>
                      <w:szCs w:val="18"/>
                    </w:rPr>
                  </w:pPr>
                </w:p>
              </w:tc>
              <w:tc>
                <w:tcPr>
                  <w:tcW w:w="1842" w:type="dxa"/>
                  <w:vAlign w:val="center"/>
                </w:tcPr>
                <w:p w14:paraId="13543A35" w14:textId="0D92C9AD"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10,3%</w:t>
                  </w:r>
                </w:p>
              </w:tc>
              <w:tc>
                <w:tcPr>
                  <w:tcW w:w="2271" w:type="dxa"/>
                  <w:vAlign w:val="center"/>
                </w:tcPr>
                <w:p w14:paraId="2149D035" w14:textId="078D2924" w:rsidR="0015157E" w:rsidRPr="0015157E" w:rsidRDefault="0015157E" w:rsidP="0015157E">
                  <w:pPr>
                    <w:spacing w:line="360" w:lineRule="auto"/>
                    <w:jc w:val="right"/>
                    <w:rPr>
                      <w:rFonts w:ascii="Calibri" w:hAnsi="Calibri" w:cs="Calibri"/>
                      <w:color w:val="000000"/>
                      <w:sz w:val="18"/>
                      <w:szCs w:val="18"/>
                    </w:rPr>
                  </w:pPr>
                  <w:r>
                    <w:rPr>
                      <w:rFonts w:ascii="Calibri" w:hAnsi="Calibri" w:cs="Calibri"/>
                      <w:color w:val="000000"/>
                      <w:sz w:val="18"/>
                      <w:szCs w:val="18"/>
                    </w:rPr>
                    <w:t>10,3%</w:t>
                  </w:r>
                </w:p>
              </w:tc>
            </w:tr>
          </w:tbl>
          <w:p w14:paraId="38D421F0" w14:textId="77777777" w:rsidR="00132521" w:rsidRPr="00132521" w:rsidRDefault="00132521" w:rsidP="0074147F">
            <w:pPr>
              <w:spacing w:line="240" w:lineRule="atLeast"/>
              <w:jc w:val="both"/>
              <w:rPr>
                <w:sz w:val="10"/>
                <w:szCs w:val="10"/>
              </w:rPr>
            </w:pPr>
          </w:p>
          <w:p w14:paraId="19EDA125" w14:textId="51BC7293" w:rsidR="005E0D77" w:rsidRPr="00F44448" w:rsidRDefault="00074333" w:rsidP="0074147F">
            <w:pPr>
              <w:spacing w:line="240" w:lineRule="atLeast"/>
              <w:jc w:val="both"/>
              <w:rPr>
                <w:rFonts w:ascii="Calibri" w:eastAsia="Calibri" w:hAnsi="Calibri" w:cs="Times New Roman"/>
                <w:sz w:val="18"/>
                <w:szCs w:val="18"/>
              </w:rPr>
            </w:pPr>
            <w:r w:rsidRPr="0040228E">
              <w:rPr>
                <w:sz w:val="18"/>
                <w:szCs w:val="18"/>
              </w:rPr>
              <w:t xml:space="preserve">Τα στοιχεία που εμφανίζονται περιλαμβάνουν όλο το κόστος του </w:t>
            </w:r>
            <w:r w:rsidRPr="00382CE0">
              <w:rPr>
                <w:sz w:val="18"/>
                <w:szCs w:val="18"/>
              </w:rPr>
              <w:t xml:space="preserve">ίδιου του Αμοιβαίου Κεφαλαίου </w:t>
            </w:r>
            <w:r w:rsidR="00F1586C" w:rsidRPr="00965D28">
              <w:rPr>
                <w:sz w:val="18"/>
                <w:szCs w:val="18"/>
              </w:rPr>
              <w:t>καθώς και το κόστος διανομής που ενδέχεται να πληρώσετε στον διανομέα σας. Ενδέχεται να μην περιλαμβάνει το κόστος του συμβούλου σας</w:t>
            </w:r>
            <w:r w:rsidRPr="00382CE0">
              <w:rPr>
                <w:sz w:val="18"/>
                <w:szCs w:val="18"/>
              </w:rPr>
              <w:t xml:space="preserve">. </w:t>
            </w:r>
            <w:r w:rsidR="003361F6" w:rsidRPr="00382CE0">
              <w:rPr>
                <w:sz w:val="18"/>
                <w:szCs w:val="18"/>
              </w:rPr>
              <w:t>Τα στοιχεία δεν λαμβάνουν υπόψη την προσωπική φορο</w:t>
            </w:r>
            <w:r w:rsidR="003361F6" w:rsidRPr="002E4438">
              <w:rPr>
                <w:sz w:val="18"/>
                <w:szCs w:val="18"/>
              </w:rPr>
              <w:t xml:space="preserve">λογική σας κατάσταση, η οποία μπορεί επίσης να επηρεάσει το ποσό που θα σας επιστραφεί. </w:t>
            </w:r>
            <w:r w:rsidR="00664042" w:rsidRPr="00664042">
              <w:rPr>
                <w:sz w:val="18"/>
                <w:szCs w:val="18"/>
              </w:rPr>
              <w:t xml:space="preserve">Το σενάριο ακραίων καταστάσεων δείχνει τι ενδέχεται να εισπράξετε σε ακραίες συνθήκες της αγοράς. </w:t>
            </w:r>
            <w:r w:rsidR="001C76EF" w:rsidRPr="001C76EF">
              <w:rPr>
                <w:sz w:val="18"/>
                <w:szCs w:val="18"/>
              </w:rPr>
              <w:t>Το δυσμενές σενάριο προέκυψε για μια επένδυση μεταξύ Ιουνίου του 2018 και Ιουνίου του 2023. Το μετριοπαθές σενάριο προέκυψε για μια επένδυση μεταξύ Μαρτίου του 2020 και Μαρτίου του 2025 και το ευνοϊκό μεταξύ Μαρτίου του 2016 και Μαρτίου του 2021.</w:t>
            </w:r>
          </w:p>
        </w:tc>
      </w:tr>
      <w:tr w:rsidR="005E0D77" w:rsidRPr="005159F1" w14:paraId="292F53E7"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0AD3D305" w14:textId="77777777" w:rsidR="00A92C6F" w:rsidRDefault="00A92C6F" w:rsidP="0074147F">
            <w:pPr>
              <w:spacing w:line="120" w:lineRule="auto"/>
              <w:jc w:val="both"/>
              <w:rPr>
                <w:b/>
                <w:bCs/>
                <w:color w:val="1F497D"/>
              </w:rPr>
            </w:pPr>
          </w:p>
          <w:p w14:paraId="7D66C386" w14:textId="43756C98" w:rsidR="00074333" w:rsidRPr="00382CE0" w:rsidRDefault="00074333" w:rsidP="0074147F">
            <w:pPr>
              <w:jc w:val="both"/>
              <w:rPr>
                <w:b/>
                <w:bCs/>
                <w:color w:val="1F497D"/>
              </w:rPr>
            </w:pPr>
            <w:r w:rsidRPr="00B32846">
              <w:rPr>
                <w:b/>
                <w:bCs/>
                <w:color w:val="1F497D"/>
              </w:rPr>
              <w:t xml:space="preserve">Τι </w:t>
            </w:r>
            <w:r w:rsidRPr="00382CE0">
              <w:rPr>
                <w:b/>
                <w:bCs/>
                <w:color w:val="1F497D"/>
              </w:rPr>
              <w:t>συμβαίνει αν η Εταιρεία δεν είναι σε θέση να πληρώσει;</w:t>
            </w:r>
          </w:p>
          <w:p w14:paraId="5A63292C" w14:textId="0EBEBC3E" w:rsidR="003C385B" w:rsidRPr="003C385B" w:rsidRDefault="00091937" w:rsidP="0074147F">
            <w:pPr>
              <w:shd w:val="clear" w:color="auto" w:fill="FFFFFF"/>
              <w:jc w:val="both"/>
              <w:rPr>
                <w:sz w:val="18"/>
                <w:szCs w:val="18"/>
              </w:rPr>
            </w:pPr>
            <w:r w:rsidRPr="00A26F15">
              <w:rPr>
                <w:sz w:val="18"/>
                <w:szCs w:val="18"/>
              </w:rPr>
              <w:t>Ο Θεματοφύλακας διασφαλίζει ότι τα περιουσιακά στοιχεία του</w:t>
            </w:r>
            <w:r>
              <w:rPr>
                <w:sz w:val="18"/>
                <w:szCs w:val="18"/>
              </w:rPr>
              <w:t xml:space="preserve"> </w:t>
            </w:r>
            <w:r w:rsidRPr="00A26F15">
              <w:rPr>
                <w:sz w:val="18"/>
                <w:szCs w:val="18"/>
              </w:rPr>
              <w:t>Αμοιβαίου Κεφαλαίου τηρούνται χωριστά από τα δικά του περιουσιακά στοιχεία καθώς και των λοιπών πελατών του χωρίς να επηρεάζονται σε περίπτωση αδυναμίας πληρωμών της Εταιρείας. Δεν υπάρχει σύστημα αποζημίωσης ή εγγύησης για τους επενδυτές.</w:t>
            </w:r>
          </w:p>
        </w:tc>
      </w:tr>
      <w:tr w:rsidR="005E0D77" w:rsidRPr="005159F1" w14:paraId="1D0BF20D"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11341" w:type="dxa"/>
            <w:gridSpan w:val="3"/>
            <w:tcBorders>
              <w:top w:val="nil"/>
              <w:left w:val="nil"/>
              <w:bottom w:val="nil"/>
              <w:right w:val="nil"/>
            </w:tcBorders>
          </w:tcPr>
          <w:p w14:paraId="40B6C34D" w14:textId="77777777" w:rsidR="00A92C6F" w:rsidRDefault="00A92C6F" w:rsidP="0074147F">
            <w:pPr>
              <w:spacing w:line="120" w:lineRule="auto"/>
              <w:jc w:val="both"/>
              <w:rPr>
                <w:b/>
                <w:bCs/>
                <w:color w:val="1F497D"/>
              </w:rPr>
            </w:pPr>
          </w:p>
          <w:p w14:paraId="1BBCD111" w14:textId="7B532B73" w:rsidR="00040F34" w:rsidRDefault="005E0D77" w:rsidP="0074147F">
            <w:pPr>
              <w:jc w:val="both"/>
              <w:rPr>
                <w:b/>
                <w:bCs/>
                <w:color w:val="1F497D"/>
              </w:rPr>
            </w:pPr>
            <w:r w:rsidRPr="00B32846">
              <w:rPr>
                <w:b/>
                <w:bCs/>
                <w:color w:val="1F497D"/>
              </w:rPr>
              <w:t xml:space="preserve">Ποιο είναι το κόστος; </w:t>
            </w:r>
          </w:p>
          <w:p w14:paraId="749F444B" w14:textId="37B45F41" w:rsidR="0026565A" w:rsidRPr="00B32846" w:rsidRDefault="0026565A" w:rsidP="0074147F">
            <w:pPr>
              <w:jc w:val="both"/>
              <w:rPr>
                <w:b/>
                <w:bCs/>
                <w:color w:val="4472C4" w:themeColor="accent1"/>
              </w:rPr>
            </w:pPr>
            <w:r w:rsidRPr="005855D3">
              <w:rPr>
                <w:sz w:val="18"/>
                <w:szCs w:val="18"/>
              </w:rPr>
              <w:t xml:space="preserve">Το πρόσωπο που σας παρέχει επενδυτικές συμβουλές σχετικά με αυτό το προϊόν ή σας </w:t>
            </w:r>
            <w:r w:rsidR="00845C38">
              <w:rPr>
                <w:sz w:val="18"/>
                <w:szCs w:val="18"/>
              </w:rPr>
              <w:t xml:space="preserve">το </w:t>
            </w:r>
            <w:r w:rsidRPr="005855D3">
              <w:rPr>
                <w:sz w:val="18"/>
                <w:szCs w:val="18"/>
              </w:rPr>
              <w:t xml:space="preserve">πωλεί </w:t>
            </w:r>
            <w:r w:rsidR="00F1586C">
              <w:rPr>
                <w:sz w:val="18"/>
                <w:szCs w:val="18"/>
              </w:rPr>
              <w:t>στα πλαίσια παροχής επενδυτικών υπηρεσιών,</w:t>
            </w:r>
            <w:r w:rsidRPr="005855D3">
              <w:rPr>
                <w:sz w:val="18"/>
                <w:szCs w:val="18"/>
              </w:rPr>
              <w:t xml:space="preserve"> ενδέχεται να σας επιβαρύνει με άλλο κόστος. Αν συμβεί αυτό, το εν λόγω πρόσωπο θα σας δώσει πληροφορίες σχετικά με αυτό το κόστος και τον τρόπο με τον οποίο επηρεάζει την επένδυσή σας.</w:t>
            </w:r>
          </w:p>
        </w:tc>
      </w:tr>
      <w:tr w:rsidR="005E0D77" w:rsidRPr="005159F1" w14:paraId="4D1E773C"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1341" w:type="dxa"/>
            <w:gridSpan w:val="3"/>
            <w:tcBorders>
              <w:top w:val="nil"/>
              <w:left w:val="nil"/>
              <w:bottom w:val="nil"/>
              <w:right w:val="nil"/>
            </w:tcBorders>
          </w:tcPr>
          <w:p w14:paraId="423BA3D8" w14:textId="43329244" w:rsidR="005E0D77" w:rsidRPr="003C385B" w:rsidRDefault="005E0D77" w:rsidP="0074147F">
            <w:pPr>
              <w:jc w:val="both"/>
              <w:rPr>
                <w:b/>
                <w:bCs/>
                <w:color w:val="000000" w:themeColor="text1"/>
                <w:sz w:val="18"/>
                <w:szCs w:val="18"/>
              </w:rPr>
            </w:pPr>
            <w:r w:rsidRPr="003C385B">
              <w:rPr>
                <w:b/>
                <w:bCs/>
                <w:color w:val="000000" w:themeColor="text1"/>
                <w:sz w:val="18"/>
                <w:szCs w:val="18"/>
              </w:rPr>
              <w:t>Κόστος με την πάροδο του χρόνου</w:t>
            </w:r>
          </w:p>
          <w:p w14:paraId="79F438A9" w14:textId="1BCE10BE" w:rsidR="002876E5" w:rsidRPr="003C385B" w:rsidRDefault="002876E5" w:rsidP="0074147F">
            <w:pPr>
              <w:jc w:val="both"/>
              <w:rPr>
                <w:sz w:val="18"/>
                <w:szCs w:val="18"/>
              </w:rPr>
            </w:pPr>
            <w:r w:rsidRPr="003C385B">
              <w:rPr>
                <w:sz w:val="18"/>
                <w:szCs w:val="18"/>
              </w:rPr>
              <w:lastRenderedPageBreak/>
              <w:t xml:space="preserve">Οι πίνακες δείχνουν τα ποσά που λαμβάνονται από την επένδυσή σας για την κάλυψη διαφορετικών τύπων κόστους. Αυτά τα ποσά εξαρτώνται από το ποσό που επενδύετε, το χρονικό διάστημα </w:t>
            </w:r>
            <w:r w:rsidRPr="00CE5527">
              <w:rPr>
                <w:sz w:val="18"/>
                <w:szCs w:val="18"/>
              </w:rPr>
              <w:t>διακράτησης</w:t>
            </w:r>
            <w:r w:rsidR="00CE5527">
              <w:rPr>
                <w:sz w:val="18"/>
                <w:szCs w:val="18"/>
              </w:rPr>
              <w:t xml:space="preserve"> </w:t>
            </w:r>
            <w:r w:rsidR="00CE5527" w:rsidRPr="00CE5527">
              <w:rPr>
                <w:sz w:val="18"/>
                <w:szCs w:val="18"/>
              </w:rPr>
              <w:t>της κατηγορίας μεριδίων και τις επιδόσεις του Αμοιβαίου Κεφαλαίου</w:t>
            </w:r>
            <w:r w:rsidRPr="00382CE0">
              <w:rPr>
                <w:sz w:val="18"/>
                <w:szCs w:val="18"/>
              </w:rPr>
              <w:t>. Τα ποσά που</w:t>
            </w:r>
            <w:r w:rsidRPr="003C385B">
              <w:rPr>
                <w:sz w:val="18"/>
                <w:szCs w:val="18"/>
              </w:rPr>
              <w:t xml:space="preserve"> παρουσιάζονται εδώ</w:t>
            </w:r>
            <w:r w:rsidR="00FA1589">
              <w:rPr>
                <w:sz w:val="18"/>
                <w:szCs w:val="18"/>
              </w:rPr>
              <w:t>,</w:t>
            </w:r>
            <w:r w:rsidRPr="003C385B">
              <w:rPr>
                <w:sz w:val="18"/>
                <w:szCs w:val="18"/>
              </w:rPr>
              <w:t xml:space="preserve"> είναι παραδείγματα που βασίζονται σε ένα παράδειγμα ποσού επένδυσης και διαφορετικές πιθανές περιόδους επένδυσης.</w:t>
            </w:r>
          </w:p>
          <w:p w14:paraId="292E9A24" w14:textId="77777777" w:rsidR="002876E5" w:rsidRPr="003C385B" w:rsidRDefault="002876E5" w:rsidP="0074147F">
            <w:pPr>
              <w:jc w:val="both"/>
              <w:rPr>
                <w:b/>
                <w:bCs/>
                <w:sz w:val="18"/>
                <w:szCs w:val="18"/>
              </w:rPr>
            </w:pPr>
            <w:r w:rsidRPr="003C385B">
              <w:rPr>
                <w:b/>
                <w:bCs/>
                <w:sz w:val="18"/>
                <w:szCs w:val="18"/>
              </w:rPr>
              <w:t>Υποθέσαμε τα εξής</w:t>
            </w:r>
          </w:p>
          <w:p w14:paraId="0D587FD7" w14:textId="65FE6AE7" w:rsidR="00132521" w:rsidRPr="003C385B" w:rsidRDefault="002876E5" w:rsidP="0074147F">
            <w:pPr>
              <w:jc w:val="both"/>
              <w:rPr>
                <w:b/>
                <w:bCs/>
                <w:color w:val="000000" w:themeColor="text1"/>
                <w:sz w:val="18"/>
                <w:szCs w:val="18"/>
              </w:rPr>
            </w:pPr>
            <w:r w:rsidRPr="003C385B">
              <w:rPr>
                <w:b/>
                <w:bCs/>
                <w:color w:val="000000" w:themeColor="text1"/>
                <w:sz w:val="18"/>
                <w:szCs w:val="18"/>
              </w:rPr>
              <w:t xml:space="preserve">— </w:t>
            </w:r>
            <w:r w:rsidRPr="003C385B">
              <w:rPr>
                <w:color w:val="000000" w:themeColor="text1"/>
                <w:sz w:val="18"/>
                <w:szCs w:val="18"/>
              </w:rPr>
              <w:t xml:space="preserve">Το πρώτο έτος θα σας επιστραφεί το ποσό που επενδύσατε (ετήσια απόδοση 0 %). Για τις άλλες περιόδους διακράτησης, υποθέσαμε ότι οι επιδόσεις </w:t>
            </w:r>
            <w:r w:rsidRPr="00382CE0">
              <w:rPr>
                <w:color w:val="000000" w:themeColor="text1"/>
                <w:sz w:val="18"/>
                <w:szCs w:val="18"/>
              </w:rPr>
              <w:t xml:space="preserve">του </w:t>
            </w:r>
            <w:r w:rsidR="00074333" w:rsidRPr="00382CE0">
              <w:rPr>
                <w:sz w:val="18"/>
                <w:szCs w:val="18"/>
              </w:rPr>
              <w:t xml:space="preserve"> Αμοιβαίου Κεφαλαίου</w:t>
            </w:r>
            <w:r w:rsidRPr="00382CE0">
              <w:rPr>
                <w:color w:val="000000" w:themeColor="text1"/>
                <w:sz w:val="18"/>
                <w:szCs w:val="18"/>
              </w:rPr>
              <w:t xml:space="preserve"> είναι εκείνες</w:t>
            </w:r>
            <w:r w:rsidRPr="003C385B">
              <w:rPr>
                <w:color w:val="000000" w:themeColor="text1"/>
                <w:sz w:val="18"/>
                <w:szCs w:val="18"/>
              </w:rPr>
              <w:t xml:space="preserve"> που παρουσιάζονται στο μετριοπαθές σενάριο.</w:t>
            </w:r>
          </w:p>
          <w:p w14:paraId="6A0496EA" w14:textId="5DE7AE93" w:rsidR="00EA1DB6" w:rsidRPr="00132521" w:rsidRDefault="002876E5" w:rsidP="0074147F">
            <w:pPr>
              <w:jc w:val="both"/>
              <w:rPr>
                <w:b/>
                <w:bCs/>
                <w:color w:val="000000" w:themeColor="text1"/>
                <w:sz w:val="18"/>
                <w:szCs w:val="18"/>
                <w:highlight w:val="darkGray"/>
              </w:rPr>
            </w:pPr>
            <w:r w:rsidRPr="003C385B">
              <w:rPr>
                <w:color w:val="000000" w:themeColor="text1"/>
                <w:sz w:val="18"/>
                <w:szCs w:val="18"/>
              </w:rPr>
              <w:t>— Επενδύονται 10</w:t>
            </w:r>
            <w:r w:rsidR="00546E6E" w:rsidRPr="003C385B">
              <w:rPr>
                <w:color w:val="000000" w:themeColor="text1"/>
                <w:sz w:val="18"/>
                <w:szCs w:val="18"/>
              </w:rPr>
              <w:t>.</w:t>
            </w:r>
            <w:r w:rsidRPr="003C385B">
              <w:rPr>
                <w:color w:val="000000" w:themeColor="text1"/>
                <w:sz w:val="18"/>
                <w:szCs w:val="18"/>
              </w:rPr>
              <w:t>000</w:t>
            </w:r>
            <w:r w:rsidR="00B32846" w:rsidRPr="003C385B">
              <w:rPr>
                <w:color w:val="000000" w:themeColor="text1"/>
                <w:sz w:val="18"/>
                <w:szCs w:val="18"/>
                <w:lang w:val="en-US"/>
              </w:rPr>
              <w:t xml:space="preserve"> </w:t>
            </w:r>
            <w:r w:rsidRPr="003C385B">
              <w:rPr>
                <w:color w:val="000000" w:themeColor="text1"/>
                <w:sz w:val="18"/>
                <w:szCs w:val="18"/>
              </w:rPr>
              <w:t>EUR</w:t>
            </w:r>
            <w:r w:rsidR="00546E6E" w:rsidRPr="003C385B">
              <w:rPr>
                <w:color w:val="000000" w:themeColor="text1"/>
                <w:sz w:val="18"/>
                <w:szCs w:val="18"/>
              </w:rPr>
              <w:t>.</w:t>
            </w:r>
          </w:p>
        </w:tc>
      </w:tr>
      <w:tr w:rsidR="00B137C9" w:rsidRPr="005159F1" w14:paraId="742AC65F"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
        </w:trPr>
        <w:tc>
          <w:tcPr>
            <w:tcW w:w="11341" w:type="dxa"/>
            <w:gridSpan w:val="3"/>
            <w:tcBorders>
              <w:top w:val="nil"/>
              <w:left w:val="nil"/>
              <w:bottom w:val="nil"/>
              <w:right w:val="nil"/>
            </w:tcBorders>
          </w:tcPr>
          <w:tbl>
            <w:tblPr>
              <w:tblStyle w:val="TableGrid"/>
              <w:tblpPr w:leftFromText="180" w:rightFromText="180" w:vertAnchor="text" w:horzAnchor="margin" w:tblpXSpec="center" w:tblpY="-277"/>
              <w:tblOverlap w:val="never"/>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685"/>
              <w:gridCol w:w="3969"/>
            </w:tblGrid>
            <w:tr w:rsidR="0026565A" w:rsidRPr="00F44448" w14:paraId="2E4BE665" w14:textId="77777777" w:rsidTr="0026565A">
              <w:trPr>
                <w:trHeight w:val="699"/>
                <w:jc w:val="center"/>
              </w:trPr>
              <w:tc>
                <w:tcPr>
                  <w:tcW w:w="3545" w:type="dxa"/>
                  <w:shd w:val="clear" w:color="auto" w:fill="1F497D"/>
                </w:tcPr>
                <w:p w14:paraId="198F5259" w14:textId="77777777" w:rsidR="0026565A" w:rsidRPr="00F44448" w:rsidRDefault="0026565A" w:rsidP="0074147F">
                  <w:pPr>
                    <w:rPr>
                      <w:sz w:val="18"/>
                      <w:szCs w:val="18"/>
                    </w:rPr>
                  </w:pPr>
                </w:p>
              </w:tc>
              <w:tc>
                <w:tcPr>
                  <w:tcW w:w="3685" w:type="dxa"/>
                  <w:shd w:val="clear" w:color="auto" w:fill="1F497D"/>
                </w:tcPr>
                <w:p w14:paraId="2A56EA4A" w14:textId="77777777" w:rsidR="0026565A" w:rsidRPr="00954F81" w:rsidRDefault="0026565A" w:rsidP="0074147F">
                  <w:pPr>
                    <w:jc w:val="center"/>
                    <w:rPr>
                      <w:rFonts w:ascii="Calibri" w:eastAsia="Calibri" w:hAnsi="Calibri"/>
                      <w:color w:val="FFFFFF" w:themeColor="background1"/>
                      <w:sz w:val="18"/>
                      <w:szCs w:val="18"/>
                    </w:rPr>
                  </w:pPr>
                </w:p>
                <w:p w14:paraId="6366D712" w14:textId="77777777" w:rsidR="0026565A" w:rsidRPr="00954F81" w:rsidRDefault="0026565A" w:rsidP="0074147F">
                  <w:pPr>
                    <w:jc w:val="center"/>
                    <w:rPr>
                      <w:color w:val="FFFFFF" w:themeColor="background1"/>
                      <w:sz w:val="18"/>
                      <w:szCs w:val="18"/>
                    </w:rPr>
                  </w:pPr>
                  <w:r w:rsidRPr="00954F81">
                    <w:rPr>
                      <w:rFonts w:ascii="Calibri" w:eastAsia="Calibri" w:hAnsi="Calibri"/>
                      <w:color w:val="FFFFFF" w:themeColor="background1"/>
                      <w:sz w:val="18"/>
                      <w:szCs w:val="18"/>
                    </w:rPr>
                    <w:t>Εάν αποχωρήσετε έπειτα από 1 έτος</w:t>
                  </w:r>
                </w:p>
              </w:tc>
              <w:tc>
                <w:tcPr>
                  <w:tcW w:w="3969" w:type="dxa"/>
                  <w:shd w:val="clear" w:color="auto" w:fill="1F497D"/>
                </w:tcPr>
                <w:p w14:paraId="7B55C499" w14:textId="77777777" w:rsidR="0026565A" w:rsidRPr="00954F81" w:rsidRDefault="0026565A" w:rsidP="0074147F">
                  <w:pPr>
                    <w:jc w:val="center"/>
                    <w:rPr>
                      <w:rFonts w:ascii="Calibri" w:eastAsia="Calibri" w:hAnsi="Calibri"/>
                      <w:color w:val="FFFFFF" w:themeColor="background1"/>
                      <w:sz w:val="18"/>
                      <w:szCs w:val="18"/>
                    </w:rPr>
                  </w:pPr>
                </w:p>
                <w:p w14:paraId="2464137A" w14:textId="3F3C6851" w:rsidR="0026565A" w:rsidRPr="00954F81" w:rsidRDefault="0026565A" w:rsidP="0074147F">
                  <w:pPr>
                    <w:jc w:val="center"/>
                    <w:rPr>
                      <w:color w:val="FFFFFF" w:themeColor="background1"/>
                      <w:sz w:val="18"/>
                      <w:szCs w:val="18"/>
                    </w:rPr>
                  </w:pPr>
                  <w:r w:rsidRPr="00954F81">
                    <w:rPr>
                      <w:rFonts w:ascii="Calibri" w:eastAsia="Calibri" w:hAnsi="Calibri"/>
                      <w:color w:val="FFFFFF" w:themeColor="background1"/>
                      <w:sz w:val="18"/>
                      <w:szCs w:val="18"/>
                    </w:rPr>
                    <w:t xml:space="preserve">Εάν αποχωρήσετε έπειτα από </w:t>
                  </w:r>
                  <w:r w:rsidR="000D2168" w:rsidRPr="000D2168">
                    <w:rPr>
                      <w:rFonts w:ascii="Calibri" w:eastAsia="Calibri" w:hAnsi="Calibri"/>
                      <w:color w:val="FFFFFF" w:themeColor="background1"/>
                      <w:sz w:val="18"/>
                      <w:szCs w:val="18"/>
                    </w:rPr>
                    <w:t>5</w:t>
                  </w:r>
                  <w:r w:rsidRPr="00954F81">
                    <w:rPr>
                      <w:rFonts w:ascii="Calibri" w:eastAsia="Calibri" w:hAnsi="Calibri"/>
                      <w:color w:val="FFFFFF" w:themeColor="background1"/>
                      <w:sz w:val="18"/>
                      <w:szCs w:val="18"/>
                    </w:rPr>
                    <w:t xml:space="preserve"> έτη</w:t>
                  </w:r>
                </w:p>
              </w:tc>
            </w:tr>
            <w:tr w:rsidR="00664042" w:rsidRPr="00F44448" w14:paraId="1230ECF6" w14:textId="77777777" w:rsidTr="00A866D6">
              <w:trPr>
                <w:trHeight w:val="280"/>
                <w:jc w:val="center"/>
              </w:trPr>
              <w:tc>
                <w:tcPr>
                  <w:tcW w:w="3545" w:type="dxa"/>
                  <w:shd w:val="clear" w:color="auto" w:fill="DEEAF6" w:themeFill="accent5" w:themeFillTint="33"/>
                </w:tcPr>
                <w:p w14:paraId="30D27793" w14:textId="77777777" w:rsidR="00664042" w:rsidRPr="00F44448" w:rsidRDefault="00664042" w:rsidP="0074147F">
                  <w:pPr>
                    <w:rPr>
                      <w:sz w:val="18"/>
                      <w:szCs w:val="18"/>
                    </w:rPr>
                  </w:pPr>
                  <w:r w:rsidRPr="00F44448">
                    <w:rPr>
                      <w:rFonts w:ascii="Calibri" w:eastAsia="Calibri" w:hAnsi="Calibri"/>
                      <w:b/>
                      <w:bCs/>
                      <w:sz w:val="18"/>
                      <w:szCs w:val="18"/>
                    </w:rPr>
                    <w:t>Συνολικό κόστος</w:t>
                  </w:r>
                </w:p>
              </w:tc>
              <w:tc>
                <w:tcPr>
                  <w:tcW w:w="3685" w:type="dxa"/>
                  <w:shd w:val="clear" w:color="auto" w:fill="DEEAF6" w:themeFill="accent5" w:themeFillTint="33"/>
                  <w:vAlign w:val="center"/>
                </w:tcPr>
                <w:p w14:paraId="154215CD" w14:textId="54AF4CF1" w:rsidR="00664042" w:rsidRPr="0047716D" w:rsidRDefault="00664042" w:rsidP="0074147F">
                  <w:pPr>
                    <w:jc w:val="center"/>
                    <w:rPr>
                      <w:color w:val="000000" w:themeColor="text1"/>
                      <w:sz w:val="18"/>
                      <w:szCs w:val="18"/>
                    </w:rPr>
                  </w:pPr>
                  <w:r>
                    <w:rPr>
                      <w:rFonts w:ascii="Calibri" w:hAnsi="Calibri" w:cs="Calibri"/>
                      <w:color w:val="000000"/>
                      <w:sz w:val="18"/>
                      <w:szCs w:val="18"/>
                    </w:rPr>
                    <w:t>2</w:t>
                  </w:r>
                  <w:r w:rsidR="003C2DC3">
                    <w:rPr>
                      <w:rFonts w:ascii="Calibri" w:hAnsi="Calibri" w:cs="Calibri"/>
                      <w:color w:val="000000"/>
                      <w:sz w:val="18"/>
                      <w:szCs w:val="18"/>
                      <w:lang w:val="en-US"/>
                    </w:rPr>
                    <w:t>23</w:t>
                  </w:r>
                  <w:r>
                    <w:rPr>
                      <w:rFonts w:ascii="Calibri" w:hAnsi="Calibri" w:cs="Calibri"/>
                      <w:color w:val="000000"/>
                      <w:sz w:val="18"/>
                      <w:szCs w:val="18"/>
                    </w:rPr>
                    <w:t xml:space="preserve"> €</w:t>
                  </w:r>
                </w:p>
              </w:tc>
              <w:tc>
                <w:tcPr>
                  <w:tcW w:w="3969" w:type="dxa"/>
                  <w:shd w:val="clear" w:color="auto" w:fill="DEEAF6" w:themeFill="accent5" w:themeFillTint="33"/>
                  <w:vAlign w:val="center"/>
                </w:tcPr>
                <w:p w14:paraId="234B1352" w14:textId="5A420478" w:rsidR="00664042" w:rsidRPr="0047716D" w:rsidRDefault="00664042" w:rsidP="0074147F">
                  <w:pPr>
                    <w:jc w:val="center"/>
                    <w:rPr>
                      <w:color w:val="000000" w:themeColor="text1"/>
                      <w:sz w:val="18"/>
                      <w:szCs w:val="18"/>
                    </w:rPr>
                  </w:pPr>
                  <w:r>
                    <w:rPr>
                      <w:rFonts w:ascii="Calibri" w:hAnsi="Calibri" w:cs="Calibri"/>
                      <w:color w:val="000000"/>
                      <w:sz w:val="18"/>
                      <w:szCs w:val="18"/>
                    </w:rPr>
                    <w:t>1.</w:t>
                  </w:r>
                  <w:r w:rsidR="003C2DC3">
                    <w:rPr>
                      <w:rFonts w:ascii="Calibri" w:hAnsi="Calibri" w:cs="Calibri"/>
                      <w:color w:val="000000"/>
                      <w:sz w:val="18"/>
                      <w:szCs w:val="18"/>
                      <w:lang w:val="en-US"/>
                    </w:rPr>
                    <w:t>25</w:t>
                  </w:r>
                  <w:r>
                    <w:rPr>
                      <w:rFonts w:ascii="Calibri" w:hAnsi="Calibri" w:cs="Calibri"/>
                      <w:color w:val="000000"/>
                      <w:sz w:val="18"/>
                      <w:szCs w:val="18"/>
                    </w:rPr>
                    <w:t>4 €</w:t>
                  </w:r>
                </w:p>
              </w:tc>
            </w:tr>
            <w:tr w:rsidR="002954E7" w:rsidRPr="00F44448" w14:paraId="317A7CE4" w14:textId="77777777" w:rsidTr="00A0522E">
              <w:trPr>
                <w:trHeight w:val="276"/>
                <w:jc w:val="center"/>
              </w:trPr>
              <w:tc>
                <w:tcPr>
                  <w:tcW w:w="3545" w:type="dxa"/>
                  <w:shd w:val="clear" w:color="auto" w:fill="DEEAF6" w:themeFill="accent5" w:themeFillTint="33"/>
                </w:tcPr>
                <w:p w14:paraId="79FF475F" w14:textId="77777777" w:rsidR="002954E7" w:rsidRPr="00F44448" w:rsidRDefault="002954E7" w:rsidP="0074147F">
                  <w:pPr>
                    <w:rPr>
                      <w:sz w:val="18"/>
                      <w:szCs w:val="18"/>
                    </w:rPr>
                  </w:pPr>
                  <w:r w:rsidRPr="00F44448">
                    <w:rPr>
                      <w:rFonts w:ascii="Calibri" w:eastAsia="Calibri" w:hAnsi="Calibri"/>
                      <w:b/>
                      <w:bCs/>
                      <w:sz w:val="18"/>
                      <w:szCs w:val="18"/>
                    </w:rPr>
                    <w:t>Ετήσιος αντίκτυπος κόστους (*)</w:t>
                  </w:r>
                </w:p>
              </w:tc>
              <w:tc>
                <w:tcPr>
                  <w:tcW w:w="3685" w:type="dxa"/>
                  <w:shd w:val="clear" w:color="auto" w:fill="DEEAF6" w:themeFill="accent5" w:themeFillTint="33"/>
                  <w:vAlign w:val="center"/>
                </w:tcPr>
                <w:p w14:paraId="5161F595" w14:textId="5C3D2149" w:rsidR="002954E7" w:rsidRPr="0047716D" w:rsidRDefault="002954E7" w:rsidP="0074147F">
                  <w:pPr>
                    <w:jc w:val="center"/>
                    <w:rPr>
                      <w:color w:val="000000" w:themeColor="text1"/>
                      <w:sz w:val="18"/>
                      <w:szCs w:val="18"/>
                    </w:rPr>
                  </w:pPr>
                  <w:r>
                    <w:rPr>
                      <w:rFonts w:ascii="Calibri" w:hAnsi="Calibri" w:cs="Calibri"/>
                      <w:color w:val="000000"/>
                      <w:sz w:val="18"/>
                      <w:szCs w:val="18"/>
                    </w:rPr>
                    <w:t>2,</w:t>
                  </w:r>
                  <w:r w:rsidR="003C2DC3">
                    <w:rPr>
                      <w:rFonts w:ascii="Calibri" w:hAnsi="Calibri" w:cs="Calibri"/>
                      <w:color w:val="000000"/>
                      <w:sz w:val="18"/>
                      <w:szCs w:val="18"/>
                      <w:lang w:val="en-US"/>
                    </w:rPr>
                    <w:t>2</w:t>
                  </w:r>
                  <w:r>
                    <w:rPr>
                      <w:rFonts w:ascii="Calibri" w:hAnsi="Calibri" w:cs="Calibri"/>
                      <w:color w:val="000000"/>
                      <w:sz w:val="18"/>
                      <w:szCs w:val="18"/>
                    </w:rPr>
                    <w:t>%</w:t>
                  </w:r>
                </w:p>
              </w:tc>
              <w:tc>
                <w:tcPr>
                  <w:tcW w:w="3969" w:type="dxa"/>
                  <w:shd w:val="clear" w:color="auto" w:fill="DEEAF6" w:themeFill="accent5" w:themeFillTint="33"/>
                </w:tcPr>
                <w:p w14:paraId="36172886" w14:textId="22D9F4EB" w:rsidR="002954E7" w:rsidRPr="0047716D" w:rsidRDefault="002954E7" w:rsidP="0074147F">
                  <w:pPr>
                    <w:jc w:val="center"/>
                    <w:rPr>
                      <w:color w:val="000000" w:themeColor="text1"/>
                      <w:sz w:val="18"/>
                      <w:szCs w:val="18"/>
                    </w:rPr>
                  </w:pPr>
                  <w:r>
                    <w:rPr>
                      <w:color w:val="000000" w:themeColor="text1"/>
                      <w:sz w:val="18"/>
                      <w:szCs w:val="18"/>
                    </w:rPr>
                    <w:t>2,</w:t>
                  </w:r>
                  <w:r w:rsidR="003C2DC3">
                    <w:rPr>
                      <w:color w:val="000000" w:themeColor="text1"/>
                      <w:sz w:val="18"/>
                      <w:szCs w:val="18"/>
                      <w:lang w:val="en-US"/>
                    </w:rPr>
                    <w:t>3</w:t>
                  </w:r>
                  <w:r w:rsidRPr="0047716D">
                    <w:rPr>
                      <w:color w:val="000000" w:themeColor="text1"/>
                      <w:sz w:val="18"/>
                      <w:szCs w:val="18"/>
                    </w:rPr>
                    <w:t>% κάθε έτος</w:t>
                  </w:r>
                </w:p>
              </w:tc>
            </w:tr>
          </w:tbl>
          <w:p w14:paraId="5D9D3C9A" w14:textId="38B7C58A" w:rsidR="00B137C9" w:rsidRPr="00F44448" w:rsidRDefault="0026565A" w:rsidP="0074147F">
            <w:pPr>
              <w:spacing w:before="120"/>
              <w:jc w:val="both"/>
              <w:rPr>
                <w:color w:val="000000" w:themeColor="text1"/>
                <w:sz w:val="18"/>
                <w:szCs w:val="18"/>
              </w:rPr>
            </w:pPr>
            <w:r w:rsidRPr="00BF1A22">
              <w:rPr>
                <w:color w:val="000000" w:themeColor="text1"/>
                <w:sz w:val="18"/>
                <w:szCs w:val="18"/>
              </w:rPr>
              <w:t>(*) Αυτό δείχνει π</w:t>
            </w:r>
            <w:r w:rsidR="001C5016">
              <w:rPr>
                <w:color w:val="000000" w:themeColor="text1"/>
                <w:sz w:val="18"/>
                <w:szCs w:val="18"/>
              </w:rPr>
              <w:t>ω</w:t>
            </w:r>
            <w:r w:rsidRPr="00BF1A22">
              <w:rPr>
                <w:color w:val="000000" w:themeColor="text1"/>
                <w:sz w:val="18"/>
                <w:szCs w:val="18"/>
              </w:rPr>
              <w:t>ς το κόστος μειώνει την απόδοσή σας κάθε έτος κατά την περίοδο διακράτησης. Για παράδειγμα, δείχνει ότι εάν αποχωρήσετε κατά τη συνιστώμενη περίοδο διακράτησης, η μέση απόδοσή σας ανά έτος προβλέπεται ότι θα είναι</w:t>
            </w:r>
            <w:r w:rsidR="00932C81">
              <w:rPr>
                <w:color w:val="000000" w:themeColor="text1"/>
                <w:sz w:val="18"/>
                <w:szCs w:val="18"/>
              </w:rPr>
              <w:t xml:space="preserve"> </w:t>
            </w:r>
            <w:r w:rsidR="002C10E7">
              <w:rPr>
                <w:color w:val="000000" w:themeColor="text1"/>
                <w:sz w:val="18"/>
                <w:szCs w:val="18"/>
              </w:rPr>
              <w:t>4,</w:t>
            </w:r>
            <w:r w:rsidR="00797A32">
              <w:rPr>
                <w:color w:val="000000" w:themeColor="text1"/>
                <w:sz w:val="18"/>
                <w:szCs w:val="18"/>
              </w:rPr>
              <w:t>1</w:t>
            </w:r>
            <w:r w:rsidR="00EA1DB6">
              <w:rPr>
                <w:color w:val="000000" w:themeColor="text1"/>
                <w:sz w:val="18"/>
                <w:szCs w:val="18"/>
              </w:rPr>
              <w:t>%</w:t>
            </w:r>
            <w:r w:rsidRPr="00BF1A22">
              <w:rPr>
                <w:color w:val="000000" w:themeColor="text1"/>
                <w:sz w:val="18"/>
                <w:szCs w:val="18"/>
              </w:rPr>
              <w:t xml:space="preserve"> πριν από την αφαίρεση του κόστους και </w:t>
            </w:r>
            <w:r w:rsidR="002C10E7">
              <w:rPr>
                <w:color w:val="000000" w:themeColor="text1"/>
                <w:sz w:val="18"/>
                <w:szCs w:val="18"/>
              </w:rPr>
              <w:t>1,</w:t>
            </w:r>
            <w:r w:rsidR="00C93A82" w:rsidRPr="00C93A82">
              <w:rPr>
                <w:color w:val="000000" w:themeColor="text1"/>
                <w:sz w:val="18"/>
                <w:szCs w:val="18"/>
              </w:rPr>
              <w:t>8</w:t>
            </w:r>
            <w:r w:rsidR="00EA1DB6">
              <w:rPr>
                <w:color w:val="000000" w:themeColor="text1"/>
                <w:sz w:val="18"/>
                <w:szCs w:val="18"/>
              </w:rPr>
              <w:t>%</w:t>
            </w:r>
            <w:r w:rsidRPr="00BF1A22">
              <w:rPr>
                <w:color w:val="000000" w:themeColor="text1"/>
                <w:sz w:val="18"/>
                <w:szCs w:val="18"/>
              </w:rPr>
              <w:t xml:space="preserve"> μετά την αφαίρεση του κόστους.</w:t>
            </w:r>
          </w:p>
        </w:tc>
      </w:tr>
      <w:tr w:rsidR="00B137C9" w:rsidRPr="005159F1" w14:paraId="13908BDD"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single" w:sz="4" w:space="0" w:color="auto"/>
              <w:right w:val="nil"/>
            </w:tcBorders>
          </w:tcPr>
          <w:p w14:paraId="2B848672" w14:textId="77777777" w:rsidR="00A71999" w:rsidRDefault="00A71999" w:rsidP="0074147F">
            <w:pPr>
              <w:rPr>
                <w:b/>
                <w:bCs/>
                <w:sz w:val="20"/>
                <w:szCs w:val="20"/>
              </w:rPr>
            </w:pPr>
          </w:p>
          <w:p w14:paraId="1FE79D76" w14:textId="3D1A0D7F" w:rsidR="00BB0A24" w:rsidRPr="00954F81" w:rsidRDefault="00B137C9" w:rsidP="0074147F">
            <w:pPr>
              <w:rPr>
                <w:b/>
                <w:bCs/>
                <w:sz w:val="20"/>
                <w:szCs w:val="20"/>
              </w:rPr>
            </w:pPr>
            <w:r w:rsidRPr="00954F81">
              <w:rPr>
                <w:b/>
                <w:bCs/>
                <w:sz w:val="20"/>
                <w:szCs w:val="20"/>
              </w:rPr>
              <w:t>Σύνθεση του κόστους</w:t>
            </w:r>
          </w:p>
        </w:tc>
      </w:tr>
      <w:tr w:rsidR="00A66468" w:rsidRPr="00FB6DF4" w14:paraId="3C134872"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018B31" w14:textId="65B2B46A" w:rsidR="00A66468" w:rsidRPr="00F44448" w:rsidRDefault="00A66468" w:rsidP="0074147F">
            <w:pPr>
              <w:rPr>
                <w:sz w:val="18"/>
                <w:szCs w:val="18"/>
              </w:rPr>
            </w:pPr>
            <w:r w:rsidRPr="00F44448">
              <w:rPr>
                <w:b/>
                <w:bCs/>
                <w:sz w:val="18"/>
                <w:szCs w:val="18"/>
              </w:rPr>
              <w:t>Εφάπαξ κόστος κατά την είσοδο ή την αποχώρηση</w:t>
            </w:r>
            <w:r w:rsidRPr="00F44448">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8A2B" w14:textId="7874C542" w:rsidR="00A66468" w:rsidRPr="00954F81" w:rsidRDefault="001A3607" w:rsidP="0074147F">
            <w:pPr>
              <w:jc w:val="center"/>
              <w:rPr>
                <w:b/>
                <w:bCs/>
                <w:sz w:val="18"/>
                <w:szCs w:val="18"/>
              </w:rPr>
            </w:pPr>
            <w:r w:rsidRPr="00954F81">
              <w:rPr>
                <w:b/>
                <w:bCs/>
                <w:sz w:val="18"/>
                <w:szCs w:val="18"/>
              </w:rPr>
              <w:t>Εάν αποχωρήσετε έπειτα από 1 έτος</w:t>
            </w:r>
          </w:p>
        </w:tc>
      </w:tr>
      <w:tr w:rsidR="00B137C9" w:rsidRPr="00FB6DF4" w14:paraId="5CBF88E0"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9"/>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654649" w14:textId="73F29A5B" w:rsidR="00B137C9" w:rsidRPr="00F44448" w:rsidRDefault="00B137C9" w:rsidP="0074147F">
            <w:pPr>
              <w:rPr>
                <w:b/>
                <w:bCs/>
                <w:sz w:val="18"/>
                <w:szCs w:val="18"/>
              </w:rPr>
            </w:pPr>
            <w:r w:rsidRPr="00F44448">
              <w:rPr>
                <w:rFonts w:ascii="Calibri" w:eastAsia="Times New Roman" w:hAnsi="Calibri" w:cs="Times New Roman"/>
                <w:b/>
                <w:bCs/>
                <w:color w:val="000000"/>
                <w:sz w:val="18"/>
                <w:szCs w:val="18"/>
                <w:lang w:eastAsia="el-GR"/>
              </w:rPr>
              <w:t>Κόστος εισόδου</w:t>
            </w:r>
          </w:p>
        </w:tc>
        <w:tc>
          <w:tcPr>
            <w:tcW w:w="7513" w:type="dxa"/>
            <w:tcBorders>
              <w:top w:val="nil"/>
              <w:left w:val="nil"/>
              <w:bottom w:val="single" w:sz="4" w:space="0" w:color="auto"/>
              <w:right w:val="nil"/>
            </w:tcBorders>
            <w:shd w:val="clear" w:color="auto" w:fill="DEEAF6" w:themeFill="accent5" w:themeFillTint="33"/>
            <w:vAlign w:val="center"/>
          </w:tcPr>
          <w:p w14:paraId="0D461A64" w14:textId="3E62A936" w:rsidR="00B137C9" w:rsidRPr="00382CE0" w:rsidRDefault="00797A32" w:rsidP="0074147F">
            <w:pPr>
              <w:rPr>
                <w:sz w:val="18"/>
                <w:szCs w:val="18"/>
              </w:rPr>
            </w:pPr>
            <w:r w:rsidRPr="00797A32">
              <w:rPr>
                <w:sz w:val="18"/>
                <w:szCs w:val="18"/>
              </w:rPr>
              <w:t>Δεν χρεώνεται τέλος εισόδου</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12AE8E" w14:textId="103A5BF9" w:rsidR="00B137C9" w:rsidRPr="00954F81" w:rsidRDefault="00932C81" w:rsidP="0074147F">
            <w:pPr>
              <w:jc w:val="center"/>
              <w:rPr>
                <w:rFonts w:ascii="Calibri" w:eastAsia="Times New Roman" w:hAnsi="Calibri" w:cs="Times New Roman"/>
                <w:b/>
                <w:bCs/>
                <w:color w:val="000000"/>
                <w:sz w:val="18"/>
                <w:szCs w:val="18"/>
                <w:lang w:eastAsia="el-GR"/>
              </w:rPr>
            </w:pPr>
            <w:r>
              <w:rPr>
                <w:rFonts w:ascii="Calibri" w:eastAsia="Times New Roman" w:hAnsi="Calibri" w:cs="Times New Roman"/>
                <w:b/>
                <w:bCs/>
                <w:color w:val="000000"/>
                <w:sz w:val="18"/>
                <w:szCs w:val="18"/>
                <w:lang w:eastAsia="el-GR"/>
              </w:rPr>
              <w:t>0</w:t>
            </w:r>
            <w:r w:rsidR="00645A1F" w:rsidRPr="00954F81">
              <w:rPr>
                <w:rFonts w:ascii="Calibri" w:eastAsia="Times New Roman" w:hAnsi="Calibri" w:cs="Times New Roman"/>
                <w:b/>
                <w:bCs/>
                <w:color w:val="000000"/>
                <w:sz w:val="18"/>
                <w:szCs w:val="18"/>
                <w:lang w:eastAsia="el-GR"/>
              </w:rPr>
              <w:t xml:space="preserve"> EUR</w:t>
            </w:r>
          </w:p>
        </w:tc>
      </w:tr>
      <w:tr w:rsidR="00B137C9" w:rsidRPr="00FB6DF4" w14:paraId="2152C44F"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7"/>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BFEB34" w14:textId="6EEFED74" w:rsidR="00B137C9" w:rsidRPr="00F44448" w:rsidRDefault="00B137C9" w:rsidP="0074147F">
            <w:pPr>
              <w:rPr>
                <w:b/>
                <w:bCs/>
                <w:sz w:val="18"/>
                <w:szCs w:val="18"/>
              </w:rPr>
            </w:pPr>
            <w:r w:rsidRPr="00F44448">
              <w:rPr>
                <w:rFonts w:ascii="Calibri" w:eastAsia="Times New Roman" w:hAnsi="Calibri" w:cs="Times New Roman"/>
                <w:b/>
                <w:bCs/>
                <w:color w:val="000000"/>
                <w:sz w:val="18"/>
                <w:szCs w:val="18"/>
                <w:lang w:eastAsia="el-GR"/>
              </w:rPr>
              <w:t>Κόστος αποχώρησης</w:t>
            </w:r>
          </w:p>
        </w:tc>
        <w:tc>
          <w:tcPr>
            <w:tcW w:w="7513" w:type="dxa"/>
            <w:tcBorders>
              <w:top w:val="single" w:sz="4" w:space="0" w:color="auto"/>
              <w:left w:val="nil"/>
              <w:bottom w:val="single" w:sz="4" w:space="0" w:color="auto"/>
              <w:right w:val="nil"/>
            </w:tcBorders>
            <w:shd w:val="clear" w:color="auto" w:fill="DEEAF6" w:themeFill="accent5" w:themeFillTint="33"/>
            <w:vAlign w:val="center"/>
          </w:tcPr>
          <w:p w14:paraId="657C5CCB" w14:textId="77777777" w:rsidR="00FA1589" w:rsidRDefault="00FA1589" w:rsidP="0074147F">
            <w:pPr>
              <w:rPr>
                <w:sz w:val="18"/>
                <w:szCs w:val="18"/>
              </w:rPr>
            </w:pPr>
          </w:p>
          <w:p w14:paraId="089B88F2" w14:textId="233DF06F" w:rsidR="00B137C9" w:rsidRPr="00382CE0" w:rsidRDefault="002954E7" w:rsidP="0074147F">
            <w:pPr>
              <w:rPr>
                <w:sz w:val="18"/>
                <w:szCs w:val="18"/>
              </w:rPr>
            </w:pPr>
            <w:r>
              <w:rPr>
                <w:sz w:val="18"/>
                <w:szCs w:val="18"/>
              </w:rPr>
              <w:t>0</w:t>
            </w:r>
            <w:r w:rsidR="000D2168" w:rsidRPr="00382CE0">
              <w:rPr>
                <w:sz w:val="18"/>
                <w:szCs w:val="18"/>
              </w:rPr>
              <w:t>,00</w:t>
            </w:r>
            <w:r w:rsidR="00B137C9" w:rsidRPr="00382CE0">
              <w:rPr>
                <w:sz w:val="18"/>
                <w:szCs w:val="18"/>
              </w:rPr>
              <w:t xml:space="preserve"> % της επένδυσής σας προτού σας καταβληθεί</w:t>
            </w:r>
          </w:p>
          <w:p w14:paraId="79AF1AC4" w14:textId="3383C28E" w:rsidR="00FA1026" w:rsidRPr="00382CE0" w:rsidRDefault="00FA1026" w:rsidP="0074147F">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F9482E" w14:textId="2A4F7BE5" w:rsidR="00B137C9" w:rsidRPr="00954F81" w:rsidRDefault="002954E7" w:rsidP="0074147F">
            <w:pPr>
              <w:jc w:val="center"/>
              <w:rPr>
                <w:rFonts w:ascii="Calibri" w:eastAsia="Times New Roman" w:hAnsi="Calibri" w:cs="Times New Roman"/>
                <w:b/>
                <w:bCs/>
                <w:color w:val="000000"/>
                <w:sz w:val="18"/>
                <w:szCs w:val="18"/>
                <w:lang w:eastAsia="el-GR"/>
              </w:rPr>
            </w:pPr>
            <w:r>
              <w:rPr>
                <w:rFonts w:ascii="Calibri" w:eastAsia="Times New Roman" w:hAnsi="Calibri" w:cs="Times New Roman"/>
                <w:b/>
                <w:bCs/>
                <w:color w:val="000000"/>
                <w:sz w:val="18"/>
                <w:szCs w:val="18"/>
                <w:lang w:eastAsia="el-GR"/>
              </w:rPr>
              <w:t>0</w:t>
            </w:r>
            <w:r w:rsidR="00645A1F" w:rsidRPr="00954F81">
              <w:rPr>
                <w:rFonts w:ascii="Calibri" w:eastAsia="Times New Roman" w:hAnsi="Calibri" w:cs="Times New Roman"/>
                <w:b/>
                <w:bCs/>
                <w:color w:val="000000"/>
                <w:sz w:val="18"/>
                <w:szCs w:val="18"/>
                <w:lang w:eastAsia="el-GR"/>
              </w:rPr>
              <w:t xml:space="preserve"> EUR</w:t>
            </w:r>
          </w:p>
        </w:tc>
      </w:tr>
      <w:tr w:rsidR="00B137C9" w:rsidRPr="00FB6DF4" w14:paraId="2EFABFEE"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DB1D2A" w14:textId="1FF0E959" w:rsidR="00B137C9" w:rsidRPr="00382CE0" w:rsidRDefault="00B137C9" w:rsidP="0074147F">
            <w:pPr>
              <w:rPr>
                <w:rFonts w:ascii="Calibri" w:eastAsia="Times New Roman" w:hAnsi="Calibri" w:cs="Times New Roman"/>
                <w:b/>
                <w:bCs/>
                <w:color w:val="000000"/>
                <w:sz w:val="18"/>
                <w:szCs w:val="18"/>
                <w:lang w:eastAsia="el-GR"/>
              </w:rPr>
            </w:pPr>
            <w:r w:rsidRPr="00382CE0">
              <w:rPr>
                <w:rFonts w:ascii="Calibri" w:eastAsia="Times New Roman" w:hAnsi="Calibri" w:cs="Times New Roman"/>
                <w:b/>
                <w:bCs/>
                <w:color w:val="000000"/>
                <w:sz w:val="18"/>
                <w:szCs w:val="18"/>
                <w:lang w:eastAsia="el-GR"/>
              </w:rPr>
              <w:t>Τρέχον κόστος [λαμβάνεται σε ετήσια βάση</w:t>
            </w:r>
            <w:r w:rsidR="00FA1589">
              <w:rPr>
                <w:rFonts w:ascii="Calibri" w:eastAsia="Times New Roman" w:hAnsi="Calibri" w:cs="Times New Roman"/>
                <w:b/>
                <w:bCs/>
                <w:color w:val="000000"/>
                <w:sz w:val="18"/>
                <w:szCs w:val="18"/>
                <w:lang w:eastAsia="el-GR"/>
              </w:rPr>
              <w:t>]</w:t>
            </w:r>
          </w:p>
        </w:tc>
      </w:tr>
      <w:tr w:rsidR="00B137C9" w:rsidRPr="00FB6DF4" w14:paraId="1CA1A28D"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8C8784" w14:textId="0346BBF8" w:rsidR="00B137C9" w:rsidRPr="00F44448" w:rsidRDefault="00B137C9" w:rsidP="0074147F">
            <w:pPr>
              <w:rPr>
                <w:rFonts w:ascii="Calibri" w:eastAsia="Times New Roman" w:hAnsi="Calibri" w:cs="Times New Roman"/>
                <w:b/>
                <w:bCs/>
                <w:color w:val="000000"/>
                <w:sz w:val="18"/>
                <w:szCs w:val="18"/>
                <w:lang w:eastAsia="el-GR"/>
              </w:rPr>
            </w:pPr>
            <w:r w:rsidRPr="00F44448">
              <w:rPr>
                <w:rFonts w:ascii="Calibri" w:eastAsia="Times New Roman" w:hAnsi="Calibri" w:cs="Times New Roman"/>
                <w:b/>
                <w:bCs/>
                <w:color w:val="000000"/>
                <w:sz w:val="18"/>
                <w:szCs w:val="18"/>
                <w:lang w:eastAsia="el-GR"/>
              </w:rPr>
              <w:t>Αμοιβές διαχείρισης</w:t>
            </w:r>
          </w:p>
          <w:p w14:paraId="2C126EC2" w14:textId="4BA5CB98" w:rsidR="00B137C9" w:rsidRPr="00F44448" w:rsidRDefault="00B137C9" w:rsidP="0074147F">
            <w:pPr>
              <w:rPr>
                <w:rFonts w:ascii="Calibri" w:eastAsia="Times New Roman" w:hAnsi="Calibri" w:cs="Times New Roman"/>
                <w:b/>
                <w:bCs/>
                <w:color w:val="000000"/>
                <w:sz w:val="18"/>
                <w:szCs w:val="18"/>
                <w:lang w:eastAsia="el-GR"/>
              </w:rPr>
            </w:pPr>
            <w:r w:rsidRPr="00F44448">
              <w:rPr>
                <w:rFonts w:ascii="Calibri" w:eastAsia="Times New Roman" w:hAnsi="Calibri" w:cs="Times New Roman"/>
                <w:b/>
                <w:bCs/>
                <w:color w:val="000000"/>
                <w:sz w:val="18"/>
                <w:szCs w:val="18"/>
                <w:lang w:eastAsia="el-GR"/>
              </w:rPr>
              <w:t>και άλλο διοικητικό ή</w:t>
            </w:r>
          </w:p>
          <w:p w14:paraId="286E04D5" w14:textId="42786469" w:rsidR="00B137C9" w:rsidRPr="00F44448" w:rsidRDefault="00B137C9" w:rsidP="0074147F">
            <w:pPr>
              <w:rPr>
                <w:rFonts w:ascii="Calibri" w:eastAsia="Times New Roman" w:hAnsi="Calibri" w:cs="Times New Roman"/>
                <w:color w:val="000000"/>
                <w:sz w:val="18"/>
                <w:szCs w:val="18"/>
                <w:lang w:eastAsia="el-GR"/>
              </w:rPr>
            </w:pPr>
            <w:r w:rsidRPr="00F44448">
              <w:rPr>
                <w:rFonts w:ascii="Calibri" w:eastAsia="Times New Roman" w:hAnsi="Calibri" w:cs="Times New Roman"/>
                <w:b/>
                <w:bCs/>
                <w:color w:val="000000"/>
                <w:sz w:val="18"/>
                <w:szCs w:val="18"/>
                <w:lang w:eastAsia="el-GR"/>
              </w:rPr>
              <w:t>λειτουργικό κόστος</w:t>
            </w:r>
          </w:p>
        </w:tc>
        <w:tc>
          <w:tcPr>
            <w:tcW w:w="7513" w:type="dxa"/>
            <w:tcBorders>
              <w:top w:val="single" w:sz="4" w:space="0" w:color="auto"/>
              <w:left w:val="nil"/>
              <w:bottom w:val="single" w:sz="4" w:space="0" w:color="auto"/>
              <w:right w:val="nil"/>
            </w:tcBorders>
            <w:shd w:val="clear" w:color="auto" w:fill="DEEAF6" w:themeFill="accent5" w:themeFillTint="33"/>
            <w:vAlign w:val="center"/>
          </w:tcPr>
          <w:p w14:paraId="44EB9EE7" w14:textId="7D0EF12A" w:rsidR="00B137C9" w:rsidRPr="00382CE0" w:rsidRDefault="002954E7" w:rsidP="0074147F">
            <w:pPr>
              <w:rPr>
                <w:sz w:val="18"/>
                <w:szCs w:val="18"/>
              </w:rPr>
            </w:pPr>
            <w:r>
              <w:rPr>
                <w:sz w:val="18"/>
                <w:szCs w:val="18"/>
              </w:rPr>
              <w:t>2,</w:t>
            </w:r>
            <w:r w:rsidR="001B2830" w:rsidRPr="001B2830">
              <w:rPr>
                <w:sz w:val="18"/>
                <w:szCs w:val="18"/>
              </w:rPr>
              <w:t>16</w:t>
            </w:r>
            <w:r w:rsidR="000D2168" w:rsidRPr="00382CE0">
              <w:rPr>
                <w:sz w:val="18"/>
                <w:szCs w:val="18"/>
              </w:rPr>
              <w:t xml:space="preserve"> </w:t>
            </w:r>
            <w:r w:rsidR="00B137C9" w:rsidRPr="00382CE0">
              <w:rPr>
                <w:sz w:val="18"/>
                <w:szCs w:val="18"/>
              </w:rPr>
              <w:t>% της αξίας της επένδυσής σας ανά έτος</w:t>
            </w:r>
          </w:p>
          <w:p w14:paraId="1FBC31BA" w14:textId="5658D9B3" w:rsidR="00B137C9" w:rsidRPr="00382CE0" w:rsidRDefault="00B137C9" w:rsidP="0074147F">
            <w:pPr>
              <w:rPr>
                <w:sz w:val="18"/>
                <w:szCs w:val="18"/>
              </w:rPr>
            </w:pPr>
            <w:r w:rsidRPr="00382CE0">
              <w:rPr>
                <w:sz w:val="18"/>
                <w:szCs w:val="18"/>
              </w:rPr>
              <w:t>Πρόκειται για μια εκτίμηση με βάση το πραγματικό κόστος κατά το τελευταίο έτος</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75CAC2" w14:textId="77777777" w:rsidR="000D2168" w:rsidRDefault="000D2168" w:rsidP="0074147F">
            <w:pPr>
              <w:jc w:val="center"/>
              <w:rPr>
                <w:rFonts w:ascii="Calibri" w:eastAsia="Times New Roman" w:hAnsi="Calibri" w:cs="Times New Roman"/>
                <w:b/>
                <w:bCs/>
                <w:color w:val="000000"/>
                <w:sz w:val="18"/>
                <w:szCs w:val="18"/>
                <w:lang w:eastAsia="el-GR"/>
              </w:rPr>
            </w:pPr>
          </w:p>
          <w:p w14:paraId="7F41DBFE" w14:textId="779ADA4D" w:rsidR="00B137C9" w:rsidRPr="00954F81" w:rsidRDefault="002C10E7" w:rsidP="0074147F">
            <w:pPr>
              <w:jc w:val="center"/>
              <w:rPr>
                <w:b/>
                <w:bCs/>
                <w:sz w:val="18"/>
                <w:szCs w:val="18"/>
                <w:lang w:val="en-US"/>
              </w:rPr>
            </w:pPr>
            <w:r>
              <w:rPr>
                <w:rFonts w:ascii="Calibri" w:eastAsia="Times New Roman" w:hAnsi="Calibri" w:cs="Times New Roman"/>
                <w:b/>
                <w:bCs/>
                <w:color w:val="000000"/>
                <w:sz w:val="18"/>
                <w:szCs w:val="18"/>
                <w:lang w:eastAsia="el-GR"/>
              </w:rPr>
              <w:t>2</w:t>
            </w:r>
            <w:r w:rsidR="001B2830">
              <w:rPr>
                <w:rFonts w:ascii="Calibri" w:eastAsia="Times New Roman" w:hAnsi="Calibri" w:cs="Times New Roman"/>
                <w:b/>
                <w:bCs/>
                <w:color w:val="000000"/>
                <w:sz w:val="18"/>
                <w:szCs w:val="18"/>
                <w:lang w:val="en-US" w:eastAsia="el-GR"/>
              </w:rPr>
              <w:t>14</w:t>
            </w:r>
            <w:r w:rsidRPr="00954F81">
              <w:rPr>
                <w:rFonts w:ascii="Calibri" w:eastAsia="Times New Roman" w:hAnsi="Calibri" w:cs="Times New Roman"/>
                <w:b/>
                <w:bCs/>
                <w:color w:val="000000"/>
                <w:sz w:val="18"/>
                <w:szCs w:val="18"/>
                <w:lang w:eastAsia="el-GR"/>
              </w:rPr>
              <w:t xml:space="preserve"> </w:t>
            </w:r>
            <w:r w:rsidR="00645A1F" w:rsidRPr="00954F81">
              <w:rPr>
                <w:rFonts w:ascii="Calibri" w:eastAsia="Times New Roman" w:hAnsi="Calibri" w:cs="Times New Roman"/>
                <w:b/>
                <w:bCs/>
                <w:color w:val="000000"/>
                <w:sz w:val="18"/>
                <w:szCs w:val="18"/>
                <w:lang w:eastAsia="el-GR"/>
              </w:rPr>
              <w:t>EUR</w:t>
            </w:r>
          </w:p>
        </w:tc>
      </w:tr>
      <w:tr w:rsidR="00B137C9" w:rsidRPr="00FB6DF4" w14:paraId="2AC4CB2F"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F73A5B" w14:textId="77777777" w:rsidR="000D2168" w:rsidRDefault="000D2168" w:rsidP="0074147F">
            <w:pPr>
              <w:rPr>
                <w:rFonts w:ascii="Calibri" w:eastAsia="Times New Roman" w:hAnsi="Calibri" w:cs="Times New Roman"/>
                <w:b/>
                <w:bCs/>
                <w:color w:val="000000"/>
                <w:sz w:val="18"/>
                <w:szCs w:val="18"/>
                <w:lang w:eastAsia="el-GR"/>
              </w:rPr>
            </w:pPr>
          </w:p>
          <w:p w14:paraId="4ADC5181" w14:textId="28DB3E71" w:rsidR="00B137C9" w:rsidRPr="000D2168" w:rsidRDefault="00B137C9" w:rsidP="0074147F">
            <w:pPr>
              <w:rPr>
                <w:rFonts w:ascii="Calibri" w:eastAsia="Times New Roman" w:hAnsi="Calibri" w:cs="Times New Roman"/>
                <w:b/>
                <w:bCs/>
                <w:color w:val="000000"/>
                <w:sz w:val="18"/>
                <w:szCs w:val="18"/>
                <w:lang w:eastAsia="el-GR"/>
              </w:rPr>
            </w:pPr>
            <w:r w:rsidRPr="00F44448">
              <w:rPr>
                <w:rFonts w:ascii="Calibri" w:eastAsia="Times New Roman" w:hAnsi="Calibri" w:cs="Times New Roman"/>
                <w:b/>
                <w:bCs/>
                <w:color w:val="000000"/>
                <w:sz w:val="18"/>
                <w:szCs w:val="18"/>
                <w:lang w:eastAsia="el-GR"/>
              </w:rPr>
              <w:t>Κόστος συναλλαγής</w:t>
            </w:r>
          </w:p>
        </w:tc>
        <w:tc>
          <w:tcPr>
            <w:tcW w:w="7513" w:type="dxa"/>
            <w:tcBorders>
              <w:top w:val="single" w:sz="4" w:space="0" w:color="auto"/>
              <w:left w:val="nil"/>
              <w:bottom w:val="single" w:sz="4" w:space="0" w:color="auto"/>
              <w:right w:val="nil"/>
            </w:tcBorders>
            <w:shd w:val="clear" w:color="auto" w:fill="DEEAF6" w:themeFill="accent5" w:themeFillTint="33"/>
            <w:vAlign w:val="center"/>
          </w:tcPr>
          <w:p w14:paraId="012F9078" w14:textId="75B05352" w:rsidR="00B137C9" w:rsidRPr="00F44448" w:rsidRDefault="00C7617E" w:rsidP="0074147F">
            <w:pPr>
              <w:rPr>
                <w:sz w:val="18"/>
                <w:szCs w:val="18"/>
              </w:rPr>
            </w:pPr>
            <w:r>
              <w:rPr>
                <w:sz w:val="18"/>
                <w:szCs w:val="18"/>
              </w:rPr>
              <w:t>0,</w:t>
            </w:r>
            <w:r w:rsidR="001B2830" w:rsidRPr="001B2830">
              <w:rPr>
                <w:sz w:val="18"/>
                <w:szCs w:val="18"/>
              </w:rPr>
              <w:t>09</w:t>
            </w:r>
            <w:r w:rsidR="00382CE0" w:rsidRPr="00AA76A0">
              <w:rPr>
                <w:sz w:val="18"/>
                <w:szCs w:val="18"/>
              </w:rPr>
              <w:t xml:space="preserve"> % της αξίας της επένδυσής σας ανά έτος. Αυτή είναι μια εκτίμηση του κόστους όταν αγοράζουμε και πωλούμε τις υποκείμενες επενδύσεις για το προϊόν. Το πραγματικό ποσό θα ποικίλλει ανάλογα με την ποσότητα που αγοράζουμε ή πωλούμε</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95FFB" w14:textId="77777777" w:rsidR="000D2168" w:rsidRDefault="000D2168" w:rsidP="0074147F">
            <w:pPr>
              <w:jc w:val="center"/>
              <w:rPr>
                <w:rFonts w:ascii="Calibri" w:eastAsia="Times New Roman" w:hAnsi="Calibri" w:cs="Times New Roman"/>
                <w:b/>
                <w:bCs/>
                <w:color w:val="000000"/>
                <w:sz w:val="18"/>
                <w:szCs w:val="18"/>
                <w:lang w:eastAsia="el-GR"/>
              </w:rPr>
            </w:pPr>
          </w:p>
          <w:p w14:paraId="7FE5B7B0" w14:textId="423DED05" w:rsidR="00B137C9" w:rsidRPr="00954F81" w:rsidRDefault="001B2830" w:rsidP="0074147F">
            <w:pPr>
              <w:jc w:val="center"/>
              <w:rPr>
                <w:b/>
                <w:bCs/>
                <w:sz w:val="18"/>
                <w:szCs w:val="18"/>
              </w:rPr>
            </w:pPr>
            <w:r>
              <w:rPr>
                <w:rFonts w:ascii="Calibri" w:eastAsia="Times New Roman" w:hAnsi="Calibri" w:cs="Times New Roman"/>
                <w:b/>
                <w:bCs/>
                <w:color w:val="000000"/>
                <w:sz w:val="18"/>
                <w:szCs w:val="18"/>
                <w:lang w:val="en-US" w:eastAsia="el-GR"/>
              </w:rPr>
              <w:t>9</w:t>
            </w:r>
            <w:r w:rsidR="00645A1F" w:rsidRPr="00954F81">
              <w:rPr>
                <w:rFonts w:ascii="Calibri" w:eastAsia="Times New Roman" w:hAnsi="Calibri" w:cs="Times New Roman"/>
                <w:b/>
                <w:bCs/>
                <w:color w:val="000000"/>
                <w:sz w:val="18"/>
                <w:szCs w:val="18"/>
                <w:lang w:eastAsia="el-GR"/>
              </w:rPr>
              <w:t xml:space="preserve"> EUR</w:t>
            </w:r>
          </w:p>
        </w:tc>
      </w:tr>
      <w:tr w:rsidR="00B137C9" w:rsidRPr="00FB6DF4" w14:paraId="3379D52C"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134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B38172" w14:textId="490E1C84" w:rsidR="00B137C9" w:rsidRPr="00F44448" w:rsidRDefault="00B137C9" w:rsidP="0074147F">
            <w:pPr>
              <w:jc w:val="both"/>
              <w:rPr>
                <w:b/>
                <w:bCs/>
                <w:sz w:val="18"/>
                <w:szCs w:val="18"/>
              </w:rPr>
            </w:pPr>
            <w:r w:rsidRPr="00F44448">
              <w:rPr>
                <w:b/>
                <w:bCs/>
                <w:sz w:val="18"/>
                <w:szCs w:val="18"/>
              </w:rPr>
              <w:t>Πρόσθετο κόστος που λαμβάνεται υπό ειδικές προϋποθέσεις</w:t>
            </w:r>
          </w:p>
        </w:tc>
      </w:tr>
      <w:tr w:rsidR="00B137C9" w:rsidRPr="00FB6DF4" w14:paraId="187C21E7"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9"/>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F15879" w14:textId="1FCAED2E" w:rsidR="00126FCA" w:rsidRPr="00F44448" w:rsidRDefault="00B137C9" w:rsidP="0074147F">
            <w:pPr>
              <w:rPr>
                <w:rFonts w:ascii="Calibri" w:eastAsia="Times New Roman" w:hAnsi="Calibri" w:cs="Times New Roman"/>
                <w:b/>
                <w:bCs/>
                <w:color w:val="000000"/>
                <w:sz w:val="18"/>
                <w:szCs w:val="18"/>
                <w:lang w:eastAsia="el-GR"/>
              </w:rPr>
            </w:pPr>
            <w:r w:rsidRPr="00F44448">
              <w:rPr>
                <w:rFonts w:ascii="Calibri" w:eastAsia="Times New Roman" w:hAnsi="Calibri" w:cs="Times New Roman"/>
                <w:b/>
                <w:bCs/>
                <w:color w:val="000000"/>
                <w:sz w:val="18"/>
                <w:szCs w:val="18"/>
                <w:lang w:eastAsia="el-GR"/>
              </w:rPr>
              <w:t>Αμοιβές επιδόσεων</w:t>
            </w:r>
          </w:p>
        </w:tc>
        <w:tc>
          <w:tcPr>
            <w:tcW w:w="7513" w:type="dxa"/>
            <w:tcBorders>
              <w:top w:val="single" w:sz="4" w:space="0" w:color="auto"/>
              <w:left w:val="nil"/>
              <w:bottom w:val="single" w:sz="4" w:space="0" w:color="auto"/>
              <w:right w:val="nil"/>
            </w:tcBorders>
            <w:shd w:val="clear" w:color="auto" w:fill="DEEAF6" w:themeFill="accent5" w:themeFillTint="33"/>
            <w:vAlign w:val="center"/>
          </w:tcPr>
          <w:p w14:paraId="0FDC04CF" w14:textId="585C31D6" w:rsidR="00B137C9" w:rsidRPr="00F44448" w:rsidRDefault="00BE7C90" w:rsidP="0074147F">
            <w:pPr>
              <w:rPr>
                <w:sz w:val="18"/>
                <w:szCs w:val="18"/>
              </w:rPr>
            </w:pPr>
            <w:r w:rsidRPr="00BE7C90">
              <w:rPr>
                <w:sz w:val="18"/>
                <w:szCs w:val="18"/>
              </w:rPr>
              <w:t>Δεν εφαρμόζονται</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F3BBE5" w14:textId="7DFD177F" w:rsidR="00B137C9" w:rsidRPr="00954F81" w:rsidRDefault="0047716D" w:rsidP="0074147F">
            <w:pPr>
              <w:jc w:val="center"/>
              <w:rPr>
                <w:b/>
                <w:bCs/>
                <w:sz w:val="18"/>
                <w:szCs w:val="18"/>
              </w:rPr>
            </w:pPr>
            <w:r>
              <w:rPr>
                <w:rFonts w:ascii="Calibri" w:eastAsia="Times New Roman" w:hAnsi="Calibri" w:cs="Times New Roman"/>
                <w:b/>
                <w:bCs/>
                <w:color w:val="000000"/>
                <w:sz w:val="18"/>
                <w:szCs w:val="18"/>
                <w:lang w:eastAsia="el-GR"/>
              </w:rPr>
              <w:t>0</w:t>
            </w:r>
            <w:r w:rsidR="00645A1F" w:rsidRPr="00954F81">
              <w:rPr>
                <w:rFonts w:ascii="Calibri" w:eastAsia="Times New Roman" w:hAnsi="Calibri" w:cs="Times New Roman"/>
                <w:b/>
                <w:bCs/>
                <w:color w:val="000000"/>
                <w:sz w:val="18"/>
                <w:szCs w:val="18"/>
                <w:lang w:eastAsia="el-GR"/>
              </w:rPr>
              <w:t xml:space="preserve"> EUR</w:t>
            </w:r>
          </w:p>
        </w:tc>
      </w:tr>
      <w:tr w:rsidR="00B137C9" w:rsidRPr="005159F1" w14:paraId="53A9C771"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4E6EF55E" w14:textId="77777777" w:rsidR="00A92C6F" w:rsidRPr="00A92C6F" w:rsidRDefault="00A92C6F" w:rsidP="0074147F">
            <w:pPr>
              <w:jc w:val="both"/>
              <w:rPr>
                <w:b/>
                <w:bCs/>
                <w:color w:val="1F497D"/>
                <w:sz w:val="21"/>
                <w:szCs w:val="21"/>
              </w:rPr>
            </w:pPr>
          </w:p>
          <w:p w14:paraId="52103ABA" w14:textId="3E6F49CC" w:rsidR="00B137C9" w:rsidRPr="00A92C6F" w:rsidRDefault="00B137C9" w:rsidP="0074147F">
            <w:pPr>
              <w:jc w:val="both"/>
              <w:rPr>
                <w:b/>
                <w:bCs/>
                <w:color w:val="1F497D"/>
                <w:sz w:val="21"/>
                <w:szCs w:val="21"/>
              </w:rPr>
            </w:pPr>
            <w:r w:rsidRPr="00A92C6F">
              <w:rPr>
                <w:b/>
                <w:bCs/>
                <w:color w:val="1F497D"/>
                <w:sz w:val="21"/>
                <w:szCs w:val="21"/>
              </w:rPr>
              <w:t>Για πόσο χρονικό διάστημα πρέπει να το έχω στην κατοχή μου και μπορώ να κάνω ανάληψη χρημάτων πριν από τη λήξη του;</w:t>
            </w:r>
          </w:p>
        </w:tc>
      </w:tr>
      <w:tr w:rsidR="00B137C9" w:rsidRPr="005159F1" w14:paraId="68E05E52"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shd w:val="clear" w:color="auto" w:fill="DEEAF6" w:themeFill="accent5" w:themeFillTint="33"/>
          </w:tcPr>
          <w:p w14:paraId="03477F04" w14:textId="00DD28A5" w:rsidR="00B137C9" w:rsidRPr="00F44448" w:rsidRDefault="00B137C9" w:rsidP="0074147F">
            <w:pPr>
              <w:jc w:val="both"/>
              <w:rPr>
                <w:b/>
                <w:bCs/>
                <w:sz w:val="18"/>
                <w:szCs w:val="18"/>
              </w:rPr>
            </w:pPr>
            <w:r w:rsidRPr="00F44448">
              <w:rPr>
                <w:b/>
                <w:bCs/>
                <w:sz w:val="18"/>
                <w:szCs w:val="18"/>
              </w:rPr>
              <w:t xml:space="preserve">Συνιστώμενη περίοδος διακράτησης: </w:t>
            </w:r>
            <w:r w:rsidR="000D2168">
              <w:rPr>
                <w:b/>
                <w:bCs/>
                <w:sz w:val="18"/>
                <w:szCs w:val="18"/>
                <w:lang w:val="en-US"/>
              </w:rPr>
              <w:t>5</w:t>
            </w:r>
            <w:r w:rsidR="002876E5" w:rsidRPr="00F44448">
              <w:rPr>
                <w:b/>
                <w:bCs/>
                <w:sz w:val="18"/>
                <w:szCs w:val="18"/>
              </w:rPr>
              <w:t xml:space="preserve"> έτη</w:t>
            </w:r>
          </w:p>
        </w:tc>
      </w:tr>
      <w:tr w:rsidR="002876E5" w:rsidRPr="005159F1" w14:paraId="7CD490A8"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5C31C80D" w14:textId="68AB548F" w:rsidR="00C01EBC" w:rsidRPr="00382CE0" w:rsidRDefault="000A6BB5" w:rsidP="0074147F">
            <w:pPr>
              <w:spacing w:before="120"/>
              <w:jc w:val="both"/>
              <w:rPr>
                <w:sz w:val="18"/>
                <w:szCs w:val="18"/>
              </w:rPr>
            </w:pPr>
            <w:r w:rsidRPr="000A6BB5">
              <w:rPr>
                <w:sz w:val="18"/>
                <w:szCs w:val="18"/>
              </w:rPr>
              <w:t xml:space="preserve">Το Αμοιβαίο Κεφάλαιο δεν έχει ελάχιστη απαιτούμενη περίοδο διακράτησης. </w:t>
            </w:r>
            <w:r w:rsidR="00312ADE">
              <w:rPr>
                <w:sz w:val="18"/>
                <w:szCs w:val="18"/>
              </w:rPr>
              <w:t>Ωστόσο</w:t>
            </w:r>
            <w:r w:rsidR="00526131" w:rsidRPr="005B00BE">
              <w:rPr>
                <w:sz w:val="18"/>
                <w:szCs w:val="18"/>
              </w:rPr>
              <w:t>, συν</w:t>
            </w:r>
            <w:r w:rsidR="00932C81">
              <w:rPr>
                <w:sz w:val="18"/>
                <w:szCs w:val="18"/>
              </w:rPr>
              <w:t>ι</w:t>
            </w:r>
            <w:r w:rsidR="00526131" w:rsidRPr="005B00BE">
              <w:rPr>
                <w:sz w:val="18"/>
                <w:szCs w:val="18"/>
              </w:rPr>
              <w:t>στ</w:t>
            </w:r>
            <w:r w:rsidR="00932C81">
              <w:rPr>
                <w:sz w:val="18"/>
                <w:szCs w:val="18"/>
              </w:rPr>
              <w:t>ά</w:t>
            </w:r>
            <w:r w:rsidR="00526131" w:rsidRPr="005B00BE">
              <w:rPr>
                <w:sz w:val="18"/>
                <w:szCs w:val="18"/>
              </w:rPr>
              <w:t xml:space="preserve">ται στους επενδυτές να </w:t>
            </w:r>
            <w:r w:rsidR="00CE5527">
              <w:rPr>
                <w:sz w:val="18"/>
                <w:szCs w:val="18"/>
              </w:rPr>
              <w:t>διακρατήσουν</w:t>
            </w:r>
            <w:r w:rsidR="00526131" w:rsidRPr="005B00BE">
              <w:rPr>
                <w:sz w:val="18"/>
                <w:szCs w:val="18"/>
              </w:rPr>
              <w:t xml:space="preserve"> την επένδυσ</w:t>
            </w:r>
            <w:r w:rsidR="00B34407">
              <w:rPr>
                <w:sz w:val="18"/>
                <w:szCs w:val="18"/>
              </w:rPr>
              <w:t>ή</w:t>
            </w:r>
            <w:r w:rsidR="00526131" w:rsidRPr="005B00BE">
              <w:rPr>
                <w:sz w:val="18"/>
                <w:szCs w:val="18"/>
              </w:rPr>
              <w:t xml:space="preserve"> τους για </w:t>
            </w:r>
            <w:r w:rsidR="00526131" w:rsidRPr="00526131">
              <w:rPr>
                <w:sz w:val="18"/>
                <w:szCs w:val="18"/>
              </w:rPr>
              <w:t>5</w:t>
            </w:r>
            <w:r w:rsidR="00526131" w:rsidRPr="005B00BE">
              <w:rPr>
                <w:sz w:val="18"/>
                <w:szCs w:val="18"/>
              </w:rPr>
              <w:t xml:space="preserve"> έτη (συνιστώμενη περίοδος διακράτησης). </w:t>
            </w:r>
            <w:r w:rsidRPr="000A6BB5">
              <w:rPr>
                <w:sz w:val="18"/>
                <w:szCs w:val="18"/>
              </w:rPr>
              <w:t>Αυτή η συνιστώμενη περίοδος διακράτησης επιλέγεται με βάση την αξιολόγηση του προφίλ κινδύνου, της απόδοσης των περιουσιακών στοιχείων και του κόστους του Αμοιβαίου Κεφαλαίου.</w:t>
            </w:r>
            <w:r w:rsidRPr="002D06B1">
              <w:rPr>
                <w:sz w:val="18"/>
                <w:szCs w:val="18"/>
              </w:rPr>
              <w:t xml:space="preserve"> </w:t>
            </w:r>
            <w:r w:rsidR="005855D3" w:rsidRPr="005855D3">
              <w:rPr>
                <w:sz w:val="18"/>
                <w:szCs w:val="18"/>
              </w:rPr>
              <w:t>Έχετε την επιλογή να εξαγοράσετε μέρος ή όλη την επένδυσή σας</w:t>
            </w:r>
            <w:r w:rsidR="00091937">
              <w:rPr>
                <w:sz w:val="18"/>
                <w:szCs w:val="18"/>
              </w:rPr>
              <w:t>,</w:t>
            </w:r>
            <w:r w:rsidR="005855D3" w:rsidRPr="005855D3">
              <w:rPr>
                <w:sz w:val="18"/>
                <w:szCs w:val="18"/>
              </w:rPr>
              <w:t xml:space="preserve"> όλες τις εργάσιμες ημέρες με την εκάστοτε προμήθεια εξαγοράς</w:t>
            </w:r>
            <w:r w:rsidR="00CE5527">
              <w:rPr>
                <w:sz w:val="18"/>
                <w:szCs w:val="18"/>
              </w:rPr>
              <w:t xml:space="preserve"> (εάν υπάρχει)</w:t>
            </w:r>
            <w:r w:rsidR="005855D3" w:rsidRPr="005855D3">
              <w:rPr>
                <w:sz w:val="18"/>
                <w:szCs w:val="18"/>
              </w:rPr>
              <w:t xml:space="preserve">. </w:t>
            </w:r>
            <w:r w:rsidR="00091937" w:rsidRPr="0026305D">
              <w:rPr>
                <w:sz w:val="18"/>
                <w:szCs w:val="18"/>
              </w:rPr>
              <w:t xml:space="preserve">Η εξαγορά των μεριδίων του Αμοιβαίου Κεφαλαίου είναι υποχρεωτική όταν την ζητήσει ο μεριδιούχος κατά τα ειδικότερα προβλεπόμενα στο άρθρο </w:t>
            </w:r>
            <w:r w:rsidR="00091937" w:rsidRPr="00435D51">
              <w:rPr>
                <w:sz w:val="18"/>
                <w:szCs w:val="18"/>
              </w:rPr>
              <w:t>7</w:t>
            </w:r>
            <w:r w:rsidR="00091937" w:rsidRPr="0026305D">
              <w:rPr>
                <w:sz w:val="18"/>
                <w:szCs w:val="18"/>
              </w:rPr>
              <w:t xml:space="preserve"> του </w:t>
            </w:r>
            <w:r w:rsidR="00091937">
              <w:rPr>
                <w:sz w:val="18"/>
                <w:szCs w:val="18"/>
              </w:rPr>
              <w:t>Κανονισμού</w:t>
            </w:r>
            <w:r w:rsidR="00091937" w:rsidRPr="0026305D">
              <w:rPr>
                <w:sz w:val="18"/>
                <w:szCs w:val="18"/>
              </w:rPr>
              <w:t xml:space="preserve"> του.</w:t>
            </w:r>
          </w:p>
        </w:tc>
      </w:tr>
      <w:tr w:rsidR="00074333" w:rsidRPr="005159F1" w14:paraId="704B530D"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415A8A37" w14:textId="77777777" w:rsidR="00A92C6F" w:rsidRDefault="00A92C6F" w:rsidP="0074147F">
            <w:pPr>
              <w:jc w:val="both"/>
              <w:rPr>
                <w:b/>
                <w:bCs/>
                <w:color w:val="1F497D"/>
              </w:rPr>
            </w:pPr>
          </w:p>
          <w:p w14:paraId="3D11D5FE" w14:textId="20372728" w:rsidR="00074333" w:rsidRPr="00A71999" w:rsidRDefault="00074333" w:rsidP="0074147F">
            <w:pPr>
              <w:jc w:val="both"/>
              <w:rPr>
                <w:b/>
                <w:bCs/>
                <w:color w:val="1F497D"/>
              </w:rPr>
            </w:pPr>
            <w:r w:rsidRPr="00382CE0">
              <w:rPr>
                <w:b/>
                <w:bCs/>
                <w:color w:val="1F497D"/>
              </w:rPr>
              <w:t>Π</w:t>
            </w:r>
            <w:r w:rsidR="00FA1589">
              <w:rPr>
                <w:b/>
                <w:bCs/>
                <w:color w:val="1F497D"/>
              </w:rPr>
              <w:t>ώ</w:t>
            </w:r>
            <w:r w:rsidRPr="00382CE0">
              <w:rPr>
                <w:b/>
                <w:bCs/>
                <w:color w:val="1F497D"/>
              </w:rPr>
              <w:t>ς μπορώ να υποβάλω καταγγελία;</w:t>
            </w:r>
          </w:p>
        </w:tc>
      </w:tr>
      <w:tr w:rsidR="00074333" w:rsidRPr="005159F1" w14:paraId="67EA70B9"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2E21F616" w14:textId="77D8E45A" w:rsidR="00074333" w:rsidRPr="00382CE0" w:rsidRDefault="00074333" w:rsidP="0074147F">
            <w:pPr>
              <w:spacing w:before="120"/>
              <w:jc w:val="both"/>
              <w:rPr>
                <w:sz w:val="18"/>
                <w:szCs w:val="18"/>
              </w:rPr>
            </w:pPr>
            <w:r w:rsidRPr="00382CE0">
              <w:rPr>
                <w:rFonts w:ascii="Calibri" w:eastAsia="Calibri" w:hAnsi="Calibri" w:cs="Times New Roman"/>
                <w:color w:val="000000"/>
                <w:sz w:val="18"/>
                <w:szCs w:val="18"/>
              </w:rPr>
              <w:t>Σε περίπτωση που θέλετε να υποβάλλετε παράπονα σχετικά με το Αμοιβαίο Κεφάλαιο ή τη συμπεριφορά της Εταιρείας ή προσώπου που παρέχει συμβουλές αναφορικά με το Αμοιβαίο Κεφάλαιο</w:t>
            </w:r>
            <w:r w:rsidR="00F1586C">
              <w:rPr>
                <w:rFonts w:ascii="Calibri" w:eastAsia="Calibri" w:hAnsi="Calibri" w:cs="Times New Roman"/>
                <w:color w:val="000000"/>
                <w:sz w:val="18"/>
                <w:szCs w:val="18"/>
              </w:rPr>
              <w:t xml:space="preserve"> ή του προσώπου που</w:t>
            </w:r>
            <w:r w:rsidR="00932C81">
              <w:rPr>
                <w:rFonts w:ascii="Calibri" w:eastAsia="Calibri" w:hAnsi="Calibri" w:cs="Times New Roman"/>
                <w:color w:val="000000"/>
                <w:sz w:val="18"/>
                <w:szCs w:val="18"/>
              </w:rPr>
              <w:t xml:space="preserve"> σας</w:t>
            </w:r>
            <w:r w:rsidR="00F1586C">
              <w:rPr>
                <w:rFonts w:ascii="Calibri" w:eastAsia="Calibri" w:hAnsi="Calibri" w:cs="Times New Roman"/>
                <w:color w:val="000000"/>
                <w:sz w:val="18"/>
                <w:szCs w:val="18"/>
              </w:rPr>
              <w:t xml:space="preserve"> πωλεί μερίδια του Αμοιβαίου Κεφαλαίου</w:t>
            </w:r>
            <w:r w:rsidRPr="00382CE0">
              <w:rPr>
                <w:rFonts w:ascii="Calibri" w:eastAsia="Calibri" w:hAnsi="Calibri" w:cs="Times New Roman"/>
                <w:color w:val="000000"/>
                <w:sz w:val="18"/>
                <w:szCs w:val="18"/>
              </w:rPr>
              <w:t xml:space="preserve">, μπορείτε να απευθυνθείτε στην Εταιρεία ή στα καταστήματα της Alpha Bank, είτε ηλεκτρονικά στο </w:t>
            </w:r>
            <w:hyperlink r:id="rId15" w:history="1">
              <w:r w:rsidRPr="00382CE0">
                <w:rPr>
                  <w:rStyle w:val="Hyperlink"/>
                  <w:rFonts w:ascii="Calibri" w:eastAsia="Calibri" w:hAnsi="Calibri" w:cs="Times New Roman"/>
                  <w:sz w:val="18"/>
                  <w:szCs w:val="18"/>
                </w:rPr>
                <w:t>www.alphamutual.gr/el/epikoinoniste-mazi-mas</w:t>
              </w:r>
            </w:hyperlink>
            <w:r w:rsidRPr="00382CE0">
              <w:rPr>
                <w:rFonts w:ascii="Calibri" w:eastAsia="Calibri" w:hAnsi="Calibri" w:cs="Times New Roman"/>
                <w:color w:val="000000"/>
                <w:sz w:val="18"/>
                <w:szCs w:val="18"/>
              </w:rPr>
              <w:t xml:space="preserve"> και με e-mail στο </w:t>
            </w:r>
            <w:hyperlink r:id="rId16" w:history="1">
              <w:r w:rsidRPr="00382CE0">
                <w:rPr>
                  <w:rStyle w:val="Hyperlink"/>
                  <w:rFonts w:ascii="Calibri" w:eastAsia="Calibri" w:hAnsi="Calibri" w:cs="Times New Roman"/>
                  <w:sz w:val="18"/>
                  <w:szCs w:val="18"/>
                </w:rPr>
                <w:t>info@alphaasset.gr</w:t>
              </w:r>
            </w:hyperlink>
            <w:r w:rsidRPr="00382CE0">
              <w:rPr>
                <w:rFonts w:ascii="Calibri" w:eastAsia="Calibri" w:hAnsi="Calibri" w:cs="Times New Roman"/>
                <w:color w:val="000000"/>
                <w:sz w:val="18"/>
                <w:szCs w:val="18"/>
              </w:rPr>
              <w:t>, είτε τηλεφωνικά στο +30 210 3266505 (</w:t>
            </w:r>
            <w:r w:rsidRPr="00382CE0">
              <w:rPr>
                <w:sz w:val="18"/>
                <w:szCs w:val="18"/>
                <w:lang w:val="en-US"/>
              </w:rPr>
              <w:t>Alpha</w:t>
            </w:r>
            <w:r w:rsidRPr="00382CE0">
              <w:rPr>
                <w:sz w:val="18"/>
                <w:szCs w:val="18"/>
              </w:rPr>
              <w:t xml:space="preserve"> </w:t>
            </w:r>
            <w:r w:rsidRPr="00382CE0">
              <w:rPr>
                <w:sz w:val="18"/>
                <w:szCs w:val="18"/>
                <w:lang w:val="en-US"/>
              </w:rPr>
              <w:t>Asset</w:t>
            </w:r>
            <w:r w:rsidRPr="00382CE0">
              <w:rPr>
                <w:sz w:val="18"/>
                <w:szCs w:val="18"/>
              </w:rPr>
              <w:t xml:space="preserve"> </w:t>
            </w:r>
            <w:r w:rsidRPr="00382CE0">
              <w:rPr>
                <w:sz w:val="18"/>
                <w:szCs w:val="18"/>
                <w:lang w:val="en-US"/>
              </w:rPr>
              <w:t>Management</w:t>
            </w:r>
            <w:r w:rsidRPr="00382CE0">
              <w:rPr>
                <w:sz w:val="18"/>
                <w:szCs w:val="18"/>
              </w:rPr>
              <w:t xml:space="preserve"> Α.Ε.Δ.Α.Κ.</w:t>
            </w:r>
            <w:r w:rsidRPr="00382CE0">
              <w:rPr>
                <w:rFonts w:ascii="Calibri" w:eastAsia="Calibri" w:hAnsi="Calibri" w:cs="Times New Roman"/>
                <w:color w:val="000000"/>
                <w:sz w:val="18"/>
                <w:szCs w:val="18"/>
              </w:rPr>
              <w:t xml:space="preserve">), είτε με fax στο +30 210 326 6506, είτε ταχυδρομικά στη διεύθυνση Πανεπιστημίου 45, 105 64 Αθήνα (έδρα Εταιρείας) και σε όλα τα καταστήματα </w:t>
            </w:r>
            <w:r w:rsidR="00845C38">
              <w:rPr>
                <w:rFonts w:ascii="Calibri" w:eastAsia="Calibri" w:hAnsi="Calibri" w:cs="Times New Roman"/>
                <w:color w:val="000000"/>
                <w:sz w:val="18"/>
                <w:szCs w:val="18"/>
              </w:rPr>
              <w:t xml:space="preserve">του Δικτύου </w:t>
            </w:r>
            <w:r w:rsidRPr="00382CE0">
              <w:rPr>
                <w:rFonts w:ascii="Calibri" w:eastAsia="Calibri" w:hAnsi="Calibri" w:cs="Times New Roman"/>
                <w:color w:val="000000"/>
                <w:sz w:val="18"/>
                <w:szCs w:val="18"/>
              </w:rPr>
              <w:t>της Alpha Bank (βασικός διανομέας).</w:t>
            </w:r>
          </w:p>
        </w:tc>
      </w:tr>
      <w:tr w:rsidR="00074333" w:rsidRPr="005159F1" w14:paraId="10E151C1"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3"/>
            <w:tcBorders>
              <w:top w:val="nil"/>
              <w:left w:val="nil"/>
              <w:bottom w:val="nil"/>
              <w:right w:val="nil"/>
            </w:tcBorders>
          </w:tcPr>
          <w:p w14:paraId="32CA6CDB" w14:textId="77777777" w:rsidR="00A92C6F" w:rsidRDefault="00A92C6F" w:rsidP="0074147F">
            <w:pPr>
              <w:jc w:val="both"/>
              <w:rPr>
                <w:b/>
                <w:bCs/>
                <w:color w:val="1F497D"/>
              </w:rPr>
            </w:pPr>
          </w:p>
          <w:p w14:paraId="02870541" w14:textId="03FD55D3" w:rsidR="00A71999" w:rsidRPr="00A71999" w:rsidRDefault="00074333" w:rsidP="0074147F">
            <w:pPr>
              <w:jc w:val="both"/>
              <w:rPr>
                <w:b/>
                <w:bCs/>
                <w:color w:val="1F497D"/>
              </w:rPr>
            </w:pPr>
            <w:r w:rsidRPr="00382CE0">
              <w:rPr>
                <w:b/>
                <w:bCs/>
                <w:color w:val="1F497D"/>
              </w:rPr>
              <w:t>Άλλες συναφείς πληροφορίες</w:t>
            </w:r>
          </w:p>
        </w:tc>
      </w:tr>
      <w:tr w:rsidR="00074333" w:rsidRPr="005159F1" w14:paraId="2EA0897E" w14:textId="77777777" w:rsidTr="00741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4"/>
        </w:trPr>
        <w:tc>
          <w:tcPr>
            <w:tcW w:w="11341" w:type="dxa"/>
            <w:gridSpan w:val="3"/>
            <w:tcBorders>
              <w:top w:val="nil"/>
              <w:left w:val="nil"/>
              <w:bottom w:val="nil"/>
              <w:right w:val="nil"/>
            </w:tcBorders>
          </w:tcPr>
          <w:p w14:paraId="4E9E0865" w14:textId="35BC7BD1" w:rsidR="00074333" w:rsidRDefault="00074333" w:rsidP="0074147F">
            <w:pPr>
              <w:spacing w:before="120"/>
              <w:jc w:val="both"/>
              <w:rPr>
                <w:rFonts w:ascii="Calibri" w:eastAsia="Calibri" w:hAnsi="Calibri" w:cs="Times New Roman"/>
                <w:color w:val="000000" w:themeColor="text1"/>
                <w:sz w:val="18"/>
                <w:szCs w:val="18"/>
              </w:rPr>
            </w:pPr>
            <w:r w:rsidRPr="00382CE0">
              <w:rPr>
                <w:rFonts w:ascii="Calibri" w:eastAsia="Calibri" w:hAnsi="Calibri" w:cs="Times New Roman"/>
                <w:color w:val="000000"/>
                <w:sz w:val="18"/>
                <w:szCs w:val="18"/>
              </w:rPr>
              <w:t xml:space="preserve">Ενδεχόμενες επικαιροποιήσεις ή αναθεωρήσεις των εγγράφων βασικών πληροφοριών για τους επενδυτές είναι διαθέσιμες στην ιστοσελίδα </w:t>
            </w:r>
            <w:hyperlink r:id="rId17" w:history="1">
              <w:r w:rsidRPr="00382CE0">
                <w:rPr>
                  <w:rStyle w:val="Hyperlink"/>
                  <w:sz w:val="18"/>
                  <w:szCs w:val="18"/>
                </w:rPr>
                <w:t>www.alphamutual.gr</w:t>
              </w:r>
            </w:hyperlink>
            <w:r w:rsidRPr="00382CE0">
              <w:rPr>
                <w:sz w:val="18"/>
                <w:szCs w:val="18"/>
              </w:rPr>
              <w:t>.</w:t>
            </w:r>
            <w:r w:rsidRPr="00382CE0">
              <w:rPr>
                <w:rFonts w:ascii="Calibri" w:eastAsia="Calibri" w:hAnsi="Calibri" w:cs="Times New Roman"/>
                <w:color w:val="000000"/>
                <w:sz w:val="18"/>
                <w:szCs w:val="18"/>
              </w:rPr>
              <w:t xml:space="preserve"> Τυχόν πρόσθετα έγγραφα πληροφοριών δύναται να παρέχονται μόνο κατόπιν αιτήματός σας. Πληροφορίες σχετικά με τις προηγούμενες επιδόσεις του Αμοιβαίου Κεφαλαίου είναι διαθέσιμες στην ιστοσελίδα </w:t>
            </w:r>
            <w:hyperlink r:id="rId18" w:history="1">
              <w:r w:rsidRPr="00382CE0">
                <w:rPr>
                  <w:rStyle w:val="Hyperlink"/>
                  <w:rFonts w:ascii="Calibri" w:eastAsia="Calibri" w:hAnsi="Calibri" w:cs="Times New Roman"/>
                  <w:sz w:val="18"/>
                  <w:szCs w:val="18"/>
                </w:rPr>
                <w:t>www.alphamutual.gr/el/ta-amoivaia-kefalaia-mas</w:t>
              </w:r>
            </w:hyperlink>
            <w:r w:rsidRPr="00382CE0">
              <w:rPr>
                <w:rFonts w:ascii="Calibri" w:eastAsia="Calibri" w:hAnsi="Calibri" w:cs="Times New Roman"/>
                <w:color w:val="000000"/>
                <w:sz w:val="18"/>
                <w:szCs w:val="18"/>
              </w:rPr>
              <w:t xml:space="preserve"> για τα τελευταία </w:t>
            </w:r>
            <w:r w:rsidR="002217A6">
              <w:rPr>
                <w:rFonts w:ascii="Calibri" w:eastAsia="Calibri" w:hAnsi="Calibri" w:cs="Times New Roman"/>
                <w:color w:val="000000"/>
                <w:sz w:val="18"/>
                <w:szCs w:val="18"/>
              </w:rPr>
              <w:t>8</w:t>
            </w:r>
            <w:r w:rsidR="00664042" w:rsidRPr="00664042">
              <w:rPr>
                <w:rFonts w:ascii="Calibri" w:eastAsia="Calibri" w:hAnsi="Calibri" w:cs="Times New Roman"/>
                <w:color w:val="000000"/>
                <w:sz w:val="18"/>
                <w:szCs w:val="18"/>
              </w:rPr>
              <w:t xml:space="preserve"> </w:t>
            </w:r>
            <w:r w:rsidRPr="00382CE0">
              <w:rPr>
                <w:rFonts w:ascii="Calibri" w:eastAsia="Calibri" w:hAnsi="Calibri" w:cs="Times New Roman"/>
                <w:color w:val="000000"/>
                <w:sz w:val="18"/>
                <w:szCs w:val="18"/>
              </w:rPr>
              <w:t xml:space="preserve">έτη. </w:t>
            </w:r>
            <w:r w:rsidRPr="00382CE0">
              <w:rPr>
                <w:rFonts w:ascii="Calibri" w:eastAsia="Calibri" w:hAnsi="Calibri" w:cs="Times New Roman"/>
                <w:color w:val="000000" w:themeColor="text1"/>
                <w:sz w:val="18"/>
                <w:szCs w:val="18"/>
              </w:rPr>
              <w:t xml:space="preserve">Οι προηγούμενοι υπολογισμοί των σεναρίων επιδόσεων είναι διαθέσιμοι σε μηνιαία βάση στο </w:t>
            </w:r>
            <w:hyperlink r:id="rId19" w:history="1">
              <w:r w:rsidR="005E1977" w:rsidRPr="00382CE0">
                <w:rPr>
                  <w:rStyle w:val="Hyperlink"/>
                  <w:sz w:val="18"/>
                  <w:szCs w:val="18"/>
                </w:rPr>
                <w:t>www.alphamutual.gr</w:t>
              </w:r>
            </w:hyperlink>
            <w:r w:rsidRPr="00382CE0">
              <w:rPr>
                <w:rFonts w:ascii="Calibri" w:eastAsia="Calibri" w:hAnsi="Calibri" w:cs="Times New Roman"/>
                <w:color w:val="000000" w:themeColor="text1"/>
                <w:sz w:val="18"/>
                <w:szCs w:val="18"/>
              </w:rPr>
              <w:t>.</w:t>
            </w:r>
          </w:p>
          <w:p w14:paraId="35963EED" w14:textId="11AE1A29" w:rsidR="002217A6" w:rsidRDefault="002217A6" w:rsidP="0074147F">
            <w:pPr>
              <w:spacing w:before="120"/>
              <w:jc w:val="both"/>
              <w:rPr>
                <w:rFonts w:ascii="Calibri" w:eastAsia="Calibri" w:hAnsi="Calibri" w:cs="Times New Roman"/>
                <w:color w:val="000000" w:themeColor="text1"/>
                <w:sz w:val="18"/>
                <w:szCs w:val="18"/>
              </w:rPr>
            </w:pPr>
            <w:r w:rsidRPr="002217A6">
              <w:rPr>
                <w:rFonts w:ascii="Calibri" w:eastAsia="Calibri" w:hAnsi="Calibri" w:cs="Times New Roman"/>
                <w:color w:val="000000" w:themeColor="text1"/>
                <w:sz w:val="18"/>
                <w:szCs w:val="18"/>
              </w:rPr>
              <w:t>Η Alpha Asset Management Α.Ε.Δ.Α.Κ. ευθύνεται για το περιεχόμενο του παρόντος εγγράφου μόνο εάν αυτό είναι παραπλανητικό, ανακριβές ή ανακόλουθο με τα σχετικά μέρη του ενημερωτικού δελτίου για το Αμοιβαίο Κεφάλαιο.</w:t>
            </w:r>
          </w:p>
          <w:p w14:paraId="67B89106" w14:textId="048D09E0" w:rsidR="00F1586C" w:rsidRPr="00382CE0" w:rsidRDefault="00F1586C" w:rsidP="0074147F">
            <w:pPr>
              <w:spacing w:before="120"/>
              <w:jc w:val="both"/>
              <w:rPr>
                <w:rFonts w:ascii="Calibri" w:eastAsia="Calibri" w:hAnsi="Calibri" w:cs="Times New Roman"/>
                <w:color w:val="FF0000"/>
                <w:sz w:val="18"/>
                <w:szCs w:val="18"/>
              </w:rPr>
            </w:pPr>
            <w:r>
              <w:rPr>
                <w:rFonts w:ascii="Calibri" w:eastAsia="Calibri" w:hAnsi="Calibri" w:cs="Times New Roman"/>
                <w:color w:val="000000"/>
                <w:sz w:val="18"/>
                <w:szCs w:val="18"/>
              </w:rPr>
              <w:t>Η Πολιτική Αποδοχών της Εταιρ</w:t>
            </w:r>
            <w:r w:rsidR="00932C81">
              <w:rPr>
                <w:rFonts w:ascii="Calibri" w:eastAsia="Calibri" w:hAnsi="Calibri" w:cs="Times New Roman"/>
                <w:color w:val="000000"/>
                <w:sz w:val="18"/>
                <w:szCs w:val="18"/>
              </w:rPr>
              <w:t>ε</w:t>
            </w:r>
            <w:r>
              <w:rPr>
                <w:rFonts w:ascii="Calibri" w:eastAsia="Calibri" w:hAnsi="Calibri" w:cs="Times New Roman"/>
                <w:color w:val="000000"/>
                <w:sz w:val="18"/>
                <w:szCs w:val="18"/>
              </w:rPr>
              <w:t xml:space="preserve">ίας, η οποία περιλαμβάνει μεταξύ άλλων, περιγραφή του τρόπου υπολογισμού αποδοχών και παροχών, καθώς και την ταυτότητα των προσώπων που είναι υπεύθυνα για τη χορήγησή τους, είναι διαθέσιμη σε έντυπη μορφή, κατόπιν αιτήματος και χωρίς καμία επιβάρυνση, καθώς και μέσω της ιστοσελίδας στο </w:t>
            </w:r>
            <w:hyperlink r:id="rId20" w:history="1">
              <w:r>
                <w:rPr>
                  <w:rStyle w:val="Hyperlink"/>
                  <w:sz w:val="18"/>
                  <w:szCs w:val="18"/>
                </w:rPr>
                <w:t>www.alphamutual.gr</w:t>
              </w:r>
            </w:hyperlink>
            <w:r>
              <w:t>.</w:t>
            </w:r>
          </w:p>
        </w:tc>
      </w:tr>
    </w:tbl>
    <w:p w14:paraId="63F9465B" w14:textId="77777777" w:rsidR="00D7745F" w:rsidRPr="00D7745F" w:rsidRDefault="00D7745F" w:rsidP="000609C7"/>
    <w:sectPr w:rsidR="00D7745F" w:rsidRPr="00D7745F" w:rsidSect="00714C2C">
      <w:headerReference w:type="even" r:id="rId21"/>
      <w:headerReference w:type="default" r:id="rId22"/>
      <w:footerReference w:type="even" r:id="rId23"/>
      <w:footerReference w:type="default" r:id="rId24"/>
      <w:headerReference w:type="first" r:id="rId25"/>
      <w:footerReference w:type="first" r:id="rId26"/>
      <w:pgSz w:w="11906" w:h="16838" w:code="9"/>
      <w:pgMar w:top="284" w:right="1797" w:bottom="284" w:left="179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157A" w14:textId="77777777" w:rsidR="00106E3A" w:rsidRDefault="00106E3A" w:rsidP="002C1C55">
      <w:pPr>
        <w:spacing w:after="0" w:line="240" w:lineRule="auto"/>
      </w:pPr>
      <w:r>
        <w:separator/>
      </w:r>
    </w:p>
  </w:endnote>
  <w:endnote w:type="continuationSeparator" w:id="0">
    <w:p w14:paraId="0D917787" w14:textId="77777777" w:rsidR="00106E3A" w:rsidRDefault="00106E3A" w:rsidP="002C1C55">
      <w:pPr>
        <w:spacing w:after="0" w:line="240" w:lineRule="auto"/>
      </w:pPr>
      <w:r>
        <w:continuationSeparator/>
      </w:r>
    </w:p>
  </w:endnote>
  <w:endnote w:type="continuationNotice" w:id="1">
    <w:p w14:paraId="2FFAF3CA" w14:textId="77777777" w:rsidR="00106E3A" w:rsidRDefault="00106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A39E" w14:textId="77777777" w:rsidR="00714C2C" w:rsidRDefault="0071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138257"/>
      <w:docPartObj>
        <w:docPartGallery w:val="Page Numbers (Bottom of Page)"/>
        <w:docPartUnique/>
      </w:docPartObj>
    </w:sdtPr>
    <w:sdtEndPr>
      <w:rPr>
        <w:noProof/>
        <w:sz w:val="18"/>
        <w:szCs w:val="18"/>
      </w:rPr>
    </w:sdtEndPr>
    <w:sdtContent>
      <w:p w14:paraId="0AB43EB8" w14:textId="2EFBD0DE" w:rsidR="00FA1589" w:rsidRPr="00FA1589" w:rsidRDefault="00FA1589">
        <w:pPr>
          <w:pStyle w:val="Footer"/>
          <w:jc w:val="center"/>
          <w:rPr>
            <w:sz w:val="18"/>
            <w:szCs w:val="18"/>
          </w:rPr>
        </w:pPr>
        <w:r w:rsidRPr="00FA1589">
          <w:rPr>
            <w:sz w:val="18"/>
            <w:szCs w:val="18"/>
          </w:rPr>
          <w:fldChar w:fldCharType="begin"/>
        </w:r>
        <w:r w:rsidRPr="00FA1589">
          <w:rPr>
            <w:sz w:val="18"/>
            <w:szCs w:val="18"/>
          </w:rPr>
          <w:instrText xml:space="preserve"> PAGE   \* MERGEFORMAT </w:instrText>
        </w:r>
        <w:r w:rsidRPr="00FA1589">
          <w:rPr>
            <w:sz w:val="18"/>
            <w:szCs w:val="18"/>
          </w:rPr>
          <w:fldChar w:fldCharType="separate"/>
        </w:r>
        <w:r w:rsidRPr="00FA1589">
          <w:rPr>
            <w:noProof/>
            <w:sz w:val="18"/>
            <w:szCs w:val="18"/>
          </w:rPr>
          <w:t>2</w:t>
        </w:r>
        <w:r w:rsidRPr="00FA1589">
          <w:rPr>
            <w:noProof/>
            <w:sz w:val="18"/>
            <w:szCs w:val="18"/>
          </w:rPr>
          <w:fldChar w:fldCharType="end"/>
        </w:r>
      </w:p>
    </w:sdtContent>
  </w:sdt>
  <w:p w14:paraId="2232CC3B" w14:textId="77777777" w:rsidR="00FA1589" w:rsidRDefault="00FA1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58A8" w14:textId="77777777" w:rsidR="00714C2C" w:rsidRDefault="0071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43DF" w14:textId="77777777" w:rsidR="00106E3A" w:rsidRDefault="00106E3A" w:rsidP="002C1C55">
      <w:pPr>
        <w:spacing w:after="0" w:line="240" w:lineRule="auto"/>
      </w:pPr>
      <w:r>
        <w:separator/>
      </w:r>
    </w:p>
  </w:footnote>
  <w:footnote w:type="continuationSeparator" w:id="0">
    <w:p w14:paraId="6818B637" w14:textId="77777777" w:rsidR="00106E3A" w:rsidRDefault="00106E3A" w:rsidP="002C1C55">
      <w:pPr>
        <w:spacing w:after="0" w:line="240" w:lineRule="auto"/>
      </w:pPr>
      <w:r>
        <w:continuationSeparator/>
      </w:r>
    </w:p>
  </w:footnote>
  <w:footnote w:type="continuationNotice" w:id="1">
    <w:p w14:paraId="57B9A2D0" w14:textId="77777777" w:rsidR="00106E3A" w:rsidRDefault="00106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502C" w14:textId="77777777" w:rsidR="00714C2C" w:rsidRDefault="00714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1A67" w14:textId="77777777" w:rsidR="00714C2C" w:rsidRDefault="00714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F583" w14:textId="77777777" w:rsidR="00714C2C" w:rsidRDefault="00714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841"/>
    <w:multiLevelType w:val="hybridMultilevel"/>
    <w:tmpl w:val="27AEAAA4"/>
    <w:lvl w:ilvl="0" w:tplc="CB76FA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B436DE"/>
    <w:multiLevelType w:val="hybridMultilevel"/>
    <w:tmpl w:val="24CC0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9F5022"/>
    <w:multiLevelType w:val="hybridMultilevel"/>
    <w:tmpl w:val="EAB49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E671FA"/>
    <w:multiLevelType w:val="hybridMultilevel"/>
    <w:tmpl w:val="CE344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5F3897"/>
    <w:multiLevelType w:val="hybridMultilevel"/>
    <w:tmpl w:val="5300AB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CFE79B8"/>
    <w:multiLevelType w:val="hybridMultilevel"/>
    <w:tmpl w:val="D8C0E0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7DA6BB9"/>
    <w:multiLevelType w:val="hybridMultilevel"/>
    <w:tmpl w:val="130CEF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0C327F2"/>
    <w:multiLevelType w:val="hybridMultilevel"/>
    <w:tmpl w:val="24623904"/>
    <w:lvl w:ilvl="0" w:tplc="246CB7D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A7A7CBF"/>
    <w:multiLevelType w:val="hybridMultilevel"/>
    <w:tmpl w:val="00FAD6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BA92712"/>
    <w:multiLevelType w:val="hybridMultilevel"/>
    <w:tmpl w:val="3F503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941676"/>
    <w:multiLevelType w:val="hybridMultilevel"/>
    <w:tmpl w:val="AFBAF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2B74E26"/>
    <w:multiLevelType w:val="hybridMultilevel"/>
    <w:tmpl w:val="98603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CCE32F1"/>
    <w:multiLevelType w:val="hybridMultilevel"/>
    <w:tmpl w:val="1B8E5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1178304">
    <w:abstractNumId w:val="10"/>
  </w:num>
  <w:num w:numId="2" w16cid:durableId="80181840">
    <w:abstractNumId w:val="7"/>
  </w:num>
  <w:num w:numId="3" w16cid:durableId="1430004398">
    <w:abstractNumId w:val="9"/>
  </w:num>
  <w:num w:numId="4" w16cid:durableId="728260279">
    <w:abstractNumId w:val="6"/>
  </w:num>
  <w:num w:numId="5" w16cid:durableId="948779610">
    <w:abstractNumId w:val="4"/>
  </w:num>
  <w:num w:numId="6" w16cid:durableId="1472013573">
    <w:abstractNumId w:val="11"/>
  </w:num>
  <w:num w:numId="7" w16cid:durableId="2108962878">
    <w:abstractNumId w:val="3"/>
  </w:num>
  <w:num w:numId="8" w16cid:durableId="1873108232">
    <w:abstractNumId w:val="12"/>
  </w:num>
  <w:num w:numId="9" w16cid:durableId="1665619436">
    <w:abstractNumId w:val="8"/>
  </w:num>
  <w:num w:numId="10" w16cid:durableId="1704016544">
    <w:abstractNumId w:val="2"/>
  </w:num>
  <w:num w:numId="11" w16cid:durableId="1410348748">
    <w:abstractNumId w:val="0"/>
  </w:num>
  <w:num w:numId="12" w16cid:durableId="1237277082">
    <w:abstractNumId w:val="5"/>
  </w:num>
  <w:num w:numId="13" w16cid:durableId="178415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yNDE2NLYwNDGyMLZQ0lEKTi0uzszPAykwNK8FAEs+AuQtAAAA"/>
  </w:docVars>
  <w:rsids>
    <w:rsidRoot w:val="00E5360F"/>
    <w:rsid w:val="00003914"/>
    <w:rsid w:val="00005B36"/>
    <w:rsid w:val="00014383"/>
    <w:rsid w:val="0001498C"/>
    <w:rsid w:val="00021C2A"/>
    <w:rsid w:val="0002321A"/>
    <w:rsid w:val="000249EB"/>
    <w:rsid w:val="0003142B"/>
    <w:rsid w:val="00032453"/>
    <w:rsid w:val="00040149"/>
    <w:rsid w:val="00040F34"/>
    <w:rsid w:val="00041730"/>
    <w:rsid w:val="00045C21"/>
    <w:rsid w:val="00055611"/>
    <w:rsid w:val="0005617F"/>
    <w:rsid w:val="000609C7"/>
    <w:rsid w:val="00061C4C"/>
    <w:rsid w:val="00062B40"/>
    <w:rsid w:val="00065D5A"/>
    <w:rsid w:val="0006707E"/>
    <w:rsid w:val="00074333"/>
    <w:rsid w:val="00074744"/>
    <w:rsid w:val="00080A52"/>
    <w:rsid w:val="00083B93"/>
    <w:rsid w:val="00091937"/>
    <w:rsid w:val="00095BE1"/>
    <w:rsid w:val="00097E1C"/>
    <w:rsid w:val="000A30B8"/>
    <w:rsid w:val="000A38C3"/>
    <w:rsid w:val="000A5C0F"/>
    <w:rsid w:val="000A6BB5"/>
    <w:rsid w:val="000A72B2"/>
    <w:rsid w:val="000A7EA7"/>
    <w:rsid w:val="000B0FEA"/>
    <w:rsid w:val="000B216B"/>
    <w:rsid w:val="000B2174"/>
    <w:rsid w:val="000B53F2"/>
    <w:rsid w:val="000B5B1E"/>
    <w:rsid w:val="000C2BE8"/>
    <w:rsid w:val="000C3877"/>
    <w:rsid w:val="000C4255"/>
    <w:rsid w:val="000C62C6"/>
    <w:rsid w:val="000C697B"/>
    <w:rsid w:val="000D2168"/>
    <w:rsid w:val="000D219D"/>
    <w:rsid w:val="000D2465"/>
    <w:rsid w:val="000D264D"/>
    <w:rsid w:val="000D6C5C"/>
    <w:rsid w:val="000D6C71"/>
    <w:rsid w:val="000E2B05"/>
    <w:rsid w:val="000F0DF4"/>
    <w:rsid w:val="000F4FE7"/>
    <w:rsid w:val="000F7746"/>
    <w:rsid w:val="00100DD9"/>
    <w:rsid w:val="00100EAC"/>
    <w:rsid w:val="00101763"/>
    <w:rsid w:val="00102EEE"/>
    <w:rsid w:val="0010465C"/>
    <w:rsid w:val="00106E3A"/>
    <w:rsid w:val="00114BA9"/>
    <w:rsid w:val="00114DCD"/>
    <w:rsid w:val="00123154"/>
    <w:rsid w:val="00124014"/>
    <w:rsid w:val="00124909"/>
    <w:rsid w:val="0012533F"/>
    <w:rsid w:val="00126419"/>
    <w:rsid w:val="00126FCA"/>
    <w:rsid w:val="00132521"/>
    <w:rsid w:val="001345E2"/>
    <w:rsid w:val="00134AE4"/>
    <w:rsid w:val="00140DA5"/>
    <w:rsid w:val="00145323"/>
    <w:rsid w:val="001472AC"/>
    <w:rsid w:val="00147B67"/>
    <w:rsid w:val="0015157E"/>
    <w:rsid w:val="001515DA"/>
    <w:rsid w:val="00153134"/>
    <w:rsid w:val="001568F9"/>
    <w:rsid w:val="00157232"/>
    <w:rsid w:val="00161F58"/>
    <w:rsid w:val="00165F0F"/>
    <w:rsid w:val="00170282"/>
    <w:rsid w:val="00170EB8"/>
    <w:rsid w:val="0018138D"/>
    <w:rsid w:val="001874C0"/>
    <w:rsid w:val="00195AA0"/>
    <w:rsid w:val="00196578"/>
    <w:rsid w:val="001A3607"/>
    <w:rsid w:val="001A53D6"/>
    <w:rsid w:val="001A5CEA"/>
    <w:rsid w:val="001A6BF4"/>
    <w:rsid w:val="001A73F8"/>
    <w:rsid w:val="001A7D73"/>
    <w:rsid w:val="001B02C8"/>
    <w:rsid w:val="001B2830"/>
    <w:rsid w:val="001C0E0D"/>
    <w:rsid w:val="001C493D"/>
    <w:rsid w:val="001C5016"/>
    <w:rsid w:val="001C76EF"/>
    <w:rsid w:val="001D0378"/>
    <w:rsid w:val="001D1917"/>
    <w:rsid w:val="001D2ABD"/>
    <w:rsid w:val="001D41A5"/>
    <w:rsid w:val="001D4B48"/>
    <w:rsid w:val="001D576E"/>
    <w:rsid w:val="001E20C2"/>
    <w:rsid w:val="001E213A"/>
    <w:rsid w:val="001E3168"/>
    <w:rsid w:val="001E7798"/>
    <w:rsid w:val="001F2BA8"/>
    <w:rsid w:val="001F61F7"/>
    <w:rsid w:val="00212378"/>
    <w:rsid w:val="0021258B"/>
    <w:rsid w:val="002145DD"/>
    <w:rsid w:val="002217A6"/>
    <w:rsid w:val="00223865"/>
    <w:rsid w:val="00227636"/>
    <w:rsid w:val="002318AA"/>
    <w:rsid w:val="002327D4"/>
    <w:rsid w:val="00234B42"/>
    <w:rsid w:val="00235709"/>
    <w:rsid w:val="00235A8A"/>
    <w:rsid w:val="00236377"/>
    <w:rsid w:val="00236D08"/>
    <w:rsid w:val="0024362C"/>
    <w:rsid w:val="00247BF7"/>
    <w:rsid w:val="002524A7"/>
    <w:rsid w:val="00252A07"/>
    <w:rsid w:val="00254564"/>
    <w:rsid w:val="0026100F"/>
    <w:rsid w:val="00264BCD"/>
    <w:rsid w:val="0026565A"/>
    <w:rsid w:val="002738CC"/>
    <w:rsid w:val="00274173"/>
    <w:rsid w:val="002753B8"/>
    <w:rsid w:val="00286D8A"/>
    <w:rsid w:val="002876E5"/>
    <w:rsid w:val="00287A7F"/>
    <w:rsid w:val="00287F8D"/>
    <w:rsid w:val="0029030E"/>
    <w:rsid w:val="00290947"/>
    <w:rsid w:val="0029546A"/>
    <w:rsid w:val="002954E7"/>
    <w:rsid w:val="00296825"/>
    <w:rsid w:val="002A384E"/>
    <w:rsid w:val="002A70D0"/>
    <w:rsid w:val="002B0106"/>
    <w:rsid w:val="002B2672"/>
    <w:rsid w:val="002B7759"/>
    <w:rsid w:val="002C10E7"/>
    <w:rsid w:val="002C1C55"/>
    <w:rsid w:val="002C5546"/>
    <w:rsid w:val="002D5BB4"/>
    <w:rsid w:val="002E1302"/>
    <w:rsid w:val="002E4438"/>
    <w:rsid w:val="002F0919"/>
    <w:rsid w:val="002F0D55"/>
    <w:rsid w:val="002F185A"/>
    <w:rsid w:val="002F27C2"/>
    <w:rsid w:val="002F7776"/>
    <w:rsid w:val="00300AD8"/>
    <w:rsid w:val="003026CB"/>
    <w:rsid w:val="00304056"/>
    <w:rsid w:val="003071B7"/>
    <w:rsid w:val="0031087C"/>
    <w:rsid w:val="00312ADE"/>
    <w:rsid w:val="003175E6"/>
    <w:rsid w:val="00317B8C"/>
    <w:rsid w:val="00321FC2"/>
    <w:rsid w:val="00322FCF"/>
    <w:rsid w:val="00323FE0"/>
    <w:rsid w:val="00324C80"/>
    <w:rsid w:val="003269CF"/>
    <w:rsid w:val="003361F6"/>
    <w:rsid w:val="00336C26"/>
    <w:rsid w:val="00341E5F"/>
    <w:rsid w:val="00343695"/>
    <w:rsid w:val="00347C13"/>
    <w:rsid w:val="00352DDD"/>
    <w:rsid w:val="003559B1"/>
    <w:rsid w:val="003562B9"/>
    <w:rsid w:val="00360101"/>
    <w:rsid w:val="003620F0"/>
    <w:rsid w:val="00363DA2"/>
    <w:rsid w:val="00366D93"/>
    <w:rsid w:val="00370B43"/>
    <w:rsid w:val="003767A0"/>
    <w:rsid w:val="00376E2D"/>
    <w:rsid w:val="003804DB"/>
    <w:rsid w:val="00382CE0"/>
    <w:rsid w:val="003846C9"/>
    <w:rsid w:val="003851C4"/>
    <w:rsid w:val="003851C9"/>
    <w:rsid w:val="003860EA"/>
    <w:rsid w:val="003971BD"/>
    <w:rsid w:val="003A31D7"/>
    <w:rsid w:val="003A3E8C"/>
    <w:rsid w:val="003B0CBA"/>
    <w:rsid w:val="003B673F"/>
    <w:rsid w:val="003C012D"/>
    <w:rsid w:val="003C1170"/>
    <w:rsid w:val="003C2DC3"/>
    <w:rsid w:val="003C385B"/>
    <w:rsid w:val="003C51C3"/>
    <w:rsid w:val="003D0899"/>
    <w:rsid w:val="003D0E68"/>
    <w:rsid w:val="003E061A"/>
    <w:rsid w:val="003E0CE9"/>
    <w:rsid w:val="003E7548"/>
    <w:rsid w:val="003F2581"/>
    <w:rsid w:val="003F548D"/>
    <w:rsid w:val="003F57ED"/>
    <w:rsid w:val="00402162"/>
    <w:rsid w:val="00402987"/>
    <w:rsid w:val="004059CD"/>
    <w:rsid w:val="00407B20"/>
    <w:rsid w:val="00415E75"/>
    <w:rsid w:val="00416CA2"/>
    <w:rsid w:val="00420EF2"/>
    <w:rsid w:val="00421938"/>
    <w:rsid w:val="00423F67"/>
    <w:rsid w:val="004244DB"/>
    <w:rsid w:val="00431C24"/>
    <w:rsid w:val="00436B6D"/>
    <w:rsid w:val="00437BBC"/>
    <w:rsid w:val="004401E9"/>
    <w:rsid w:val="00440346"/>
    <w:rsid w:val="004418D2"/>
    <w:rsid w:val="0044203D"/>
    <w:rsid w:val="0044254B"/>
    <w:rsid w:val="00445AAC"/>
    <w:rsid w:val="00453268"/>
    <w:rsid w:val="00454737"/>
    <w:rsid w:val="00454DF2"/>
    <w:rsid w:val="0045580F"/>
    <w:rsid w:val="0046308E"/>
    <w:rsid w:val="00463DE7"/>
    <w:rsid w:val="00466106"/>
    <w:rsid w:val="00466A0C"/>
    <w:rsid w:val="00466C86"/>
    <w:rsid w:val="004677BA"/>
    <w:rsid w:val="0047312D"/>
    <w:rsid w:val="00474E4C"/>
    <w:rsid w:val="00475711"/>
    <w:rsid w:val="0047716D"/>
    <w:rsid w:val="00477359"/>
    <w:rsid w:val="00481C43"/>
    <w:rsid w:val="00483BB9"/>
    <w:rsid w:val="00484617"/>
    <w:rsid w:val="00486988"/>
    <w:rsid w:val="00490AE3"/>
    <w:rsid w:val="00491F1D"/>
    <w:rsid w:val="00496679"/>
    <w:rsid w:val="00496974"/>
    <w:rsid w:val="004974A5"/>
    <w:rsid w:val="00497BEF"/>
    <w:rsid w:val="00497EE5"/>
    <w:rsid w:val="004B2C51"/>
    <w:rsid w:val="004C1C90"/>
    <w:rsid w:val="004C35F9"/>
    <w:rsid w:val="004C390E"/>
    <w:rsid w:val="004C3B15"/>
    <w:rsid w:val="004C733C"/>
    <w:rsid w:val="004C798A"/>
    <w:rsid w:val="004E1731"/>
    <w:rsid w:val="004E3D49"/>
    <w:rsid w:val="004E419B"/>
    <w:rsid w:val="004E4329"/>
    <w:rsid w:val="004F0DB0"/>
    <w:rsid w:val="004F1E56"/>
    <w:rsid w:val="004F365B"/>
    <w:rsid w:val="00504DE1"/>
    <w:rsid w:val="00505D5E"/>
    <w:rsid w:val="00510269"/>
    <w:rsid w:val="005122AC"/>
    <w:rsid w:val="00513AA8"/>
    <w:rsid w:val="005157E0"/>
    <w:rsid w:val="005159F1"/>
    <w:rsid w:val="00520C36"/>
    <w:rsid w:val="0052190E"/>
    <w:rsid w:val="00526131"/>
    <w:rsid w:val="00530A27"/>
    <w:rsid w:val="005345D0"/>
    <w:rsid w:val="0053496F"/>
    <w:rsid w:val="005378D5"/>
    <w:rsid w:val="00537B05"/>
    <w:rsid w:val="00542DB4"/>
    <w:rsid w:val="00546E6E"/>
    <w:rsid w:val="00547AEE"/>
    <w:rsid w:val="00550A67"/>
    <w:rsid w:val="00555E1D"/>
    <w:rsid w:val="00556678"/>
    <w:rsid w:val="0056193B"/>
    <w:rsid w:val="00563190"/>
    <w:rsid w:val="0056550C"/>
    <w:rsid w:val="00572B63"/>
    <w:rsid w:val="00572F2B"/>
    <w:rsid w:val="00577966"/>
    <w:rsid w:val="005779F1"/>
    <w:rsid w:val="005817AF"/>
    <w:rsid w:val="005855D3"/>
    <w:rsid w:val="00585C60"/>
    <w:rsid w:val="00586A6F"/>
    <w:rsid w:val="00592448"/>
    <w:rsid w:val="00592E48"/>
    <w:rsid w:val="00596573"/>
    <w:rsid w:val="005A30FE"/>
    <w:rsid w:val="005B1F4C"/>
    <w:rsid w:val="005B306B"/>
    <w:rsid w:val="005B66DA"/>
    <w:rsid w:val="005C2B86"/>
    <w:rsid w:val="005C6051"/>
    <w:rsid w:val="005C6C63"/>
    <w:rsid w:val="005C7DDA"/>
    <w:rsid w:val="005D16BF"/>
    <w:rsid w:val="005D2360"/>
    <w:rsid w:val="005D3D71"/>
    <w:rsid w:val="005D613C"/>
    <w:rsid w:val="005D64B7"/>
    <w:rsid w:val="005D7D9E"/>
    <w:rsid w:val="005E0D77"/>
    <w:rsid w:val="005E1977"/>
    <w:rsid w:val="005E3C11"/>
    <w:rsid w:val="005F005E"/>
    <w:rsid w:val="00600158"/>
    <w:rsid w:val="0060285F"/>
    <w:rsid w:val="00603E9D"/>
    <w:rsid w:val="006076C7"/>
    <w:rsid w:val="00611ECC"/>
    <w:rsid w:val="006127F5"/>
    <w:rsid w:val="006136D1"/>
    <w:rsid w:val="00622A8A"/>
    <w:rsid w:val="006253D0"/>
    <w:rsid w:val="00626C4D"/>
    <w:rsid w:val="006277CC"/>
    <w:rsid w:val="00631064"/>
    <w:rsid w:val="00635DAA"/>
    <w:rsid w:val="00637CC8"/>
    <w:rsid w:val="0064550C"/>
    <w:rsid w:val="00645A1F"/>
    <w:rsid w:val="00647A9D"/>
    <w:rsid w:val="006613C4"/>
    <w:rsid w:val="00664042"/>
    <w:rsid w:val="006664F1"/>
    <w:rsid w:val="006673B1"/>
    <w:rsid w:val="0067299D"/>
    <w:rsid w:val="00674899"/>
    <w:rsid w:val="0069280B"/>
    <w:rsid w:val="00692E14"/>
    <w:rsid w:val="00693900"/>
    <w:rsid w:val="006945D5"/>
    <w:rsid w:val="00694610"/>
    <w:rsid w:val="00695FB7"/>
    <w:rsid w:val="00696FAC"/>
    <w:rsid w:val="006971BC"/>
    <w:rsid w:val="006A3E90"/>
    <w:rsid w:val="006A3E97"/>
    <w:rsid w:val="006A6F08"/>
    <w:rsid w:val="006B10D7"/>
    <w:rsid w:val="006B1990"/>
    <w:rsid w:val="006B5607"/>
    <w:rsid w:val="006B5765"/>
    <w:rsid w:val="006C610B"/>
    <w:rsid w:val="006C7D9D"/>
    <w:rsid w:val="006D148B"/>
    <w:rsid w:val="006D1F1A"/>
    <w:rsid w:val="006D478D"/>
    <w:rsid w:val="006D507B"/>
    <w:rsid w:val="006E09C4"/>
    <w:rsid w:val="006E47DE"/>
    <w:rsid w:val="006E610B"/>
    <w:rsid w:val="006F0518"/>
    <w:rsid w:val="006F5FF1"/>
    <w:rsid w:val="006F73B4"/>
    <w:rsid w:val="007047E1"/>
    <w:rsid w:val="00704956"/>
    <w:rsid w:val="0071022D"/>
    <w:rsid w:val="00711649"/>
    <w:rsid w:val="00711B4A"/>
    <w:rsid w:val="007130CE"/>
    <w:rsid w:val="0071455F"/>
    <w:rsid w:val="00714C2C"/>
    <w:rsid w:val="007157BA"/>
    <w:rsid w:val="0071786D"/>
    <w:rsid w:val="00731C53"/>
    <w:rsid w:val="00732F4F"/>
    <w:rsid w:val="0074147F"/>
    <w:rsid w:val="00743147"/>
    <w:rsid w:val="0075129C"/>
    <w:rsid w:val="00757EC6"/>
    <w:rsid w:val="007613C4"/>
    <w:rsid w:val="007619B6"/>
    <w:rsid w:val="00766672"/>
    <w:rsid w:val="00770FA6"/>
    <w:rsid w:val="00771087"/>
    <w:rsid w:val="00771FFA"/>
    <w:rsid w:val="00775963"/>
    <w:rsid w:val="00776CE8"/>
    <w:rsid w:val="0078087F"/>
    <w:rsid w:val="00785F2A"/>
    <w:rsid w:val="0079132F"/>
    <w:rsid w:val="007946BA"/>
    <w:rsid w:val="007955CC"/>
    <w:rsid w:val="00795D52"/>
    <w:rsid w:val="00797A32"/>
    <w:rsid w:val="007A2881"/>
    <w:rsid w:val="007A2B86"/>
    <w:rsid w:val="007A5650"/>
    <w:rsid w:val="007A6641"/>
    <w:rsid w:val="007A7C0D"/>
    <w:rsid w:val="007B1209"/>
    <w:rsid w:val="007B58CB"/>
    <w:rsid w:val="007C2170"/>
    <w:rsid w:val="007C2CEC"/>
    <w:rsid w:val="007C713E"/>
    <w:rsid w:val="007D2ED9"/>
    <w:rsid w:val="007E0D17"/>
    <w:rsid w:val="007E139D"/>
    <w:rsid w:val="007E1691"/>
    <w:rsid w:val="007E17DD"/>
    <w:rsid w:val="007E485C"/>
    <w:rsid w:val="007E68F9"/>
    <w:rsid w:val="007E6AB1"/>
    <w:rsid w:val="007F2122"/>
    <w:rsid w:val="007F4FA8"/>
    <w:rsid w:val="007F7F99"/>
    <w:rsid w:val="0080048B"/>
    <w:rsid w:val="00803E87"/>
    <w:rsid w:val="00807FA1"/>
    <w:rsid w:val="00813725"/>
    <w:rsid w:val="00821DAA"/>
    <w:rsid w:val="00824450"/>
    <w:rsid w:val="00826C0B"/>
    <w:rsid w:val="00831B71"/>
    <w:rsid w:val="00836418"/>
    <w:rsid w:val="00836578"/>
    <w:rsid w:val="00836C11"/>
    <w:rsid w:val="00842099"/>
    <w:rsid w:val="00845C38"/>
    <w:rsid w:val="00857284"/>
    <w:rsid w:val="00860BAE"/>
    <w:rsid w:val="0086137B"/>
    <w:rsid w:val="008623E6"/>
    <w:rsid w:val="00862F15"/>
    <w:rsid w:val="008631D4"/>
    <w:rsid w:val="008666FA"/>
    <w:rsid w:val="00866DC4"/>
    <w:rsid w:val="0087576C"/>
    <w:rsid w:val="00877B55"/>
    <w:rsid w:val="00882734"/>
    <w:rsid w:val="008843CD"/>
    <w:rsid w:val="0088680D"/>
    <w:rsid w:val="00891BC5"/>
    <w:rsid w:val="0089229E"/>
    <w:rsid w:val="00893ACB"/>
    <w:rsid w:val="0089442E"/>
    <w:rsid w:val="008A23D7"/>
    <w:rsid w:val="008A3A16"/>
    <w:rsid w:val="008A5DB5"/>
    <w:rsid w:val="008B172A"/>
    <w:rsid w:val="008B4BC4"/>
    <w:rsid w:val="008B4DBD"/>
    <w:rsid w:val="008B70DA"/>
    <w:rsid w:val="008B72F1"/>
    <w:rsid w:val="008B78C1"/>
    <w:rsid w:val="008C0E53"/>
    <w:rsid w:val="008C3944"/>
    <w:rsid w:val="008C56D3"/>
    <w:rsid w:val="008C5B3B"/>
    <w:rsid w:val="008C7CA0"/>
    <w:rsid w:val="008D15F2"/>
    <w:rsid w:val="008D1638"/>
    <w:rsid w:val="008D2EB1"/>
    <w:rsid w:val="008D3A16"/>
    <w:rsid w:val="008D4B06"/>
    <w:rsid w:val="008D7A09"/>
    <w:rsid w:val="008E11C8"/>
    <w:rsid w:val="008E14AB"/>
    <w:rsid w:val="008E2776"/>
    <w:rsid w:val="008E30FE"/>
    <w:rsid w:val="008E3430"/>
    <w:rsid w:val="008E57F5"/>
    <w:rsid w:val="008E5812"/>
    <w:rsid w:val="008E737A"/>
    <w:rsid w:val="008F1692"/>
    <w:rsid w:val="009005AA"/>
    <w:rsid w:val="00900A3F"/>
    <w:rsid w:val="00902CA8"/>
    <w:rsid w:val="009039E7"/>
    <w:rsid w:val="0091328A"/>
    <w:rsid w:val="00917235"/>
    <w:rsid w:val="00923713"/>
    <w:rsid w:val="00924B92"/>
    <w:rsid w:val="00932C81"/>
    <w:rsid w:val="009346E0"/>
    <w:rsid w:val="00935C53"/>
    <w:rsid w:val="009406E9"/>
    <w:rsid w:val="00946107"/>
    <w:rsid w:val="00947BD2"/>
    <w:rsid w:val="00947DD0"/>
    <w:rsid w:val="00953881"/>
    <w:rsid w:val="00953D93"/>
    <w:rsid w:val="00954F81"/>
    <w:rsid w:val="00955B93"/>
    <w:rsid w:val="0095644E"/>
    <w:rsid w:val="00957FA2"/>
    <w:rsid w:val="009612FD"/>
    <w:rsid w:val="009621BD"/>
    <w:rsid w:val="009638B9"/>
    <w:rsid w:val="009653E0"/>
    <w:rsid w:val="00966D88"/>
    <w:rsid w:val="00967F68"/>
    <w:rsid w:val="00971765"/>
    <w:rsid w:val="0097212D"/>
    <w:rsid w:val="009730AF"/>
    <w:rsid w:val="009764F2"/>
    <w:rsid w:val="009823B4"/>
    <w:rsid w:val="0098393A"/>
    <w:rsid w:val="0098394B"/>
    <w:rsid w:val="00984598"/>
    <w:rsid w:val="00984DFA"/>
    <w:rsid w:val="00987774"/>
    <w:rsid w:val="00991D25"/>
    <w:rsid w:val="009936EB"/>
    <w:rsid w:val="009943CA"/>
    <w:rsid w:val="009A34D0"/>
    <w:rsid w:val="009A45AA"/>
    <w:rsid w:val="009A6768"/>
    <w:rsid w:val="009A6C2E"/>
    <w:rsid w:val="009A6CBE"/>
    <w:rsid w:val="009A7E02"/>
    <w:rsid w:val="009B38B2"/>
    <w:rsid w:val="009B39FD"/>
    <w:rsid w:val="009B51F1"/>
    <w:rsid w:val="009C1510"/>
    <w:rsid w:val="009C1D8D"/>
    <w:rsid w:val="009C6F83"/>
    <w:rsid w:val="009D20BD"/>
    <w:rsid w:val="009D4416"/>
    <w:rsid w:val="009E1546"/>
    <w:rsid w:val="009E6C16"/>
    <w:rsid w:val="009F09DA"/>
    <w:rsid w:val="009F2B23"/>
    <w:rsid w:val="009F31E0"/>
    <w:rsid w:val="009F3568"/>
    <w:rsid w:val="009F3C36"/>
    <w:rsid w:val="009F3D10"/>
    <w:rsid w:val="00A01F9B"/>
    <w:rsid w:val="00A03E6E"/>
    <w:rsid w:val="00A05D8E"/>
    <w:rsid w:val="00A1283C"/>
    <w:rsid w:val="00A20378"/>
    <w:rsid w:val="00A2085D"/>
    <w:rsid w:val="00A21A2D"/>
    <w:rsid w:val="00A24477"/>
    <w:rsid w:val="00A26426"/>
    <w:rsid w:val="00A27ABF"/>
    <w:rsid w:val="00A3009A"/>
    <w:rsid w:val="00A307D9"/>
    <w:rsid w:val="00A30EA8"/>
    <w:rsid w:val="00A32D1C"/>
    <w:rsid w:val="00A32E96"/>
    <w:rsid w:val="00A336A8"/>
    <w:rsid w:val="00A33BCB"/>
    <w:rsid w:val="00A354A0"/>
    <w:rsid w:val="00A457F8"/>
    <w:rsid w:val="00A549B3"/>
    <w:rsid w:val="00A56C81"/>
    <w:rsid w:val="00A57364"/>
    <w:rsid w:val="00A5780E"/>
    <w:rsid w:val="00A5795C"/>
    <w:rsid w:val="00A610C5"/>
    <w:rsid w:val="00A66468"/>
    <w:rsid w:val="00A66D42"/>
    <w:rsid w:val="00A66EC9"/>
    <w:rsid w:val="00A71999"/>
    <w:rsid w:val="00A723C1"/>
    <w:rsid w:val="00A72511"/>
    <w:rsid w:val="00A75491"/>
    <w:rsid w:val="00A806B2"/>
    <w:rsid w:val="00A83595"/>
    <w:rsid w:val="00A84662"/>
    <w:rsid w:val="00A85397"/>
    <w:rsid w:val="00A92C6F"/>
    <w:rsid w:val="00A939CA"/>
    <w:rsid w:val="00A96B60"/>
    <w:rsid w:val="00AA03EC"/>
    <w:rsid w:val="00AA28A2"/>
    <w:rsid w:val="00AA5666"/>
    <w:rsid w:val="00AA6897"/>
    <w:rsid w:val="00AA7370"/>
    <w:rsid w:val="00AB3329"/>
    <w:rsid w:val="00AB7A9A"/>
    <w:rsid w:val="00AC2AFF"/>
    <w:rsid w:val="00AC6D4B"/>
    <w:rsid w:val="00AC70EC"/>
    <w:rsid w:val="00AD70CA"/>
    <w:rsid w:val="00AD7C8D"/>
    <w:rsid w:val="00AE1904"/>
    <w:rsid w:val="00AE397D"/>
    <w:rsid w:val="00AE4406"/>
    <w:rsid w:val="00AE6BFB"/>
    <w:rsid w:val="00AF0B98"/>
    <w:rsid w:val="00AF4A60"/>
    <w:rsid w:val="00AF5ABF"/>
    <w:rsid w:val="00AF684C"/>
    <w:rsid w:val="00AF7885"/>
    <w:rsid w:val="00B00B29"/>
    <w:rsid w:val="00B025C4"/>
    <w:rsid w:val="00B03C63"/>
    <w:rsid w:val="00B04007"/>
    <w:rsid w:val="00B06AD8"/>
    <w:rsid w:val="00B06C01"/>
    <w:rsid w:val="00B10AAF"/>
    <w:rsid w:val="00B137C9"/>
    <w:rsid w:val="00B15DC6"/>
    <w:rsid w:val="00B20A40"/>
    <w:rsid w:val="00B20BDD"/>
    <w:rsid w:val="00B2159D"/>
    <w:rsid w:val="00B21A65"/>
    <w:rsid w:val="00B32846"/>
    <w:rsid w:val="00B32A7A"/>
    <w:rsid w:val="00B34407"/>
    <w:rsid w:val="00B35F78"/>
    <w:rsid w:val="00B370B2"/>
    <w:rsid w:val="00B40A99"/>
    <w:rsid w:val="00B502D2"/>
    <w:rsid w:val="00B55190"/>
    <w:rsid w:val="00B567A9"/>
    <w:rsid w:val="00B57565"/>
    <w:rsid w:val="00B57FCB"/>
    <w:rsid w:val="00B6476B"/>
    <w:rsid w:val="00B73119"/>
    <w:rsid w:val="00B7374A"/>
    <w:rsid w:val="00B753AF"/>
    <w:rsid w:val="00B76127"/>
    <w:rsid w:val="00B77AA3"/>
    <w:rsid w:val="00B77F88"/>
    <w:rsid w:val="00B80EA8"/>
    <w:rsid w:val="00B80F9A"/>
    <w:rsid w:val="00B839A1"/>
    <w:rsid w:val="00B8466E"/>
    <w:rsid w:val="00B84BC5"/>
    <w:rsid w:val="00B8629B"/>
    <w:rsid w:val="00B863DF"/>
    <w:rsid w:val="00B93DA6"/>
    <w:rsid w:val="00B95354"/>
    <w:rsid w:val="00BA4DBB"/>
    <w:rsid w:val="00BA7833"/>
    <w:rsid w:val="00BB032D"/>
    <w:rsid w:val="00BB0A24"/>
    <w:rsid w:val="00BB3738"/>
    <w:rsid w:val="00BB44FE"/>
    <w:rsid w:val="00BB7CE8"/>
    <w:rsid w:val="00BC2514"/>
    <w:rsid w:val="00BC2EC9"/>
    <w:rsid w:val="00BC4A36"/>
    <w:rsid w:val="00BC6C1D"/>
    <w:rsid w:val="00BC7170"/>
    <w:rsid w:val="00BD08F7"/>
    <w:rsid w:val="00BD1574"/>
    <w:rsid w:val="00BE0447"/>
    <w:rsid w:val="00BE053C"/>
    <w:rsid w:val="00BE0D2B"/>
    <w:rsid w:val="00BE0EB7"/>
    <w:rsid w:val="00BE29CC"/>
    <w:rsid w:val="00BE32A5"/>
    <w:rsid w:val="00BE5394"/>
    <w:rsid w:val="00BE7C90"/>
    <w:rsid w:val="00BF0309"/>
    <w:rsid w:val="00BF0D57"/>
    <w:rsid w:val="00BF16CC"/>
    <w:rsid w:val="00BF1A22"/>
    <w:rsid w:val="00BF30D1"/>
    <w:rsid w:val="00C01EBC"/>
    <w:rsid w:val="00C039CD"/>
    <w:rsid w:val="00C078DB"/>
    <w:rsid w:val="00C11C2F"/>
    <w:rsid w:val="00C1397C"/>
    <w:rsid w:val="00C1488B"/>
    <w:rsid w:val="00C14B53"/>
    <w:rsid w:val="00C16C6D"/>
    <w:rsid w:val="00C2121A"/>
    <w:rsid w:val="00C25DF7"/>
    <w:rsid w:val="00C272C5"/>
    <w:rsid w:val="00C274A9"/>
    <w:rsid w:val="00C35363"/>
    <w:rsid w:val="00C41578"/>
    <w:rsid w:val="00C44C7A"/>
    <w:rsid w:val="00C50BB9"/>
    <w:rsid w:val="00C53369"/>
    <w:rsid w:val="00C618FF"/>
    <w:rsid w:val="00C61D6B"/>
    <w:rsid w:val="00C66E59"/>
    <w:rsid w:val="00C7617E"/>
    <w:rsid w:val="00C77368"/>
    <w:rsid w:val="00C77AF6"/>
    <w:rsid w:val="00C81251"/>
    <w:rsid w:val="00C8339E"/>
    <w:rsid w:val="00C833BD"/>
    <w:rsid w:val="00C84C43"/>
    <w:rsid w:val="00C8626A"/>
    <w:rsid w:val="00C87CD1"/>
    <w:rsid w:val="00C90E82"/>
    <w:rsid w:val="00C916FD"/>
    <w:rsid w:val="00C91D19"/>
    <w:rsid w:val="00C93636"/>
    <w:rsid w:val="00C93A82"/>
    <w:rsid w:val="00C958A2"/>
    <w:rsid w:val="00CA10B5"/>
    <w:rsid w:val="00CA222A"/>
    <w:rsid w:val="00CA30C8"/>
    <w:rsid w:val="00CB0BA0"/>
    <w:rsid w:val="00CB1829"/>
    <w:rsid w:val="00CB2371"/>
    <w:rsid w:val="00CB34A4"/>
    <w:rsid w:val="00CB3F1E"/>
    <w:rsid w:val="00CB71BA"/>
    <w:rsid w:val="00CC5883"/>
    <w:rsid w:val="00CD021E"/>
    <w:rsid w:val="00CD36B0"/>
    <w:rsid w:val="00CD3FFE"/>
    <w:rsid w:val="00CD4916"/>
    <w:rsid w:val="00CD4B5A"/>
    <w:rsid w:val="00CD4EFB"/>
    <w:rsid w:val="00CD61BF"/>
    <w:rsid w:val="00CD6867"/>
    <w:rsid w:val="00CE18C0"/>
    <w:rsid w:val="00CE23DB"/>
    <w:rsid w:val="00CE2D45"/>
    <w:rsid w:val="00CE5527"/>
    <w:rsid w:val="00CE5DFA"/>
    <w:rsid w:val="00CF238E"/>
    <w:rsid w:val="00CF35D8"/>
    <w:rsid w:val="00CF6773"/>
    <w:rsid w:val="00CF7663"/>
    <w:rsid w:val="00D074B2"/>
    <w:rsid w:val="00D13B78"/>
    <w:rsid w:val="00D16207"/>
    <w:rsid w:val="00D22E2D"/>
    <w:rsid w:val="00D2388F"/>
    <w:rsid w:val="00D3030C"/>
    <w:rsid w:val="00D35445"/>
    <w:rsid w:val="00D378E1"/>
    <w:rsid w:val="00D379C3"/>
    <w:rsid w:val="00D40E47"/>
    <w:rsid w:val="00D42043"/>
    <w:rsid w:val="00D43DE6"/>
    <w:rsid w:val="00D44426"/>
    <w:rsid w:val="00D45795"/>
    <w:rsid w:val="00D47F45"/>
    <w:rsid w:val="00D51DC5"/>
    <w:rsid w:val="00D52C57"/>
    <w:rsid w:val="00D52F4C"/>
    <w:rsid w:val="00D52FE4"/>
    <w:rsid w:val="00D63AB4"/>
    <w:rsid w:val="00D648C6"/>
    <w:rsid w:val="00D65E32"/>
    <w:rsid w:val="00D70341"/>
    <w:rsid w:val="00D704E3"/>
    <w:rsid w:val="00D72C97"/>
    <w:rsid w:val="00D752EF"/>
    <w:rsid w:val="00D75E3C"/>
    <w:rsid w:val="00D76798"/>
    <w:rsid w:val="00D7745F"/>
    <w:rsid w:val="00D77F69"/>
    <w:rsid w:val="00D83438"/>
    <w:rsid w:val="00D83D98"/>
    <w:rsid w:val="00D865F3"/>
    <w:rsid w:val="00D86E9A"/>
    <w:rsid w:val="00D92B32"/>
    <w:rsid w:val="00D94682"/>
    <w:rsid w:val="00D96277"/>
    <w:rsid w:val="00D97560"/>
    <w:rsid w:val="00DA1DA9"/>
    <w:rsid w:val="00DA24B9"/>
    <w:rsid w:val="00DA2D65"/>
    <w:rsid w:val="00DA674F"/>
    <w:rsid w:val="00DA6E0D"/>
    <w:rsid w:val="00DB2B43"/>
    <w:rsid w:val="00DB3526"/>
    <w:rsid w:val="00DB440B"/>
    <w:rsid w:val="00DB547C"/>
    <w:rsid w:val="00DB5E67"/>
    <w:rsid w:val="00DB73BD"/>
    <w:rsid w:val="00DC4AE8"/>
    <w:rsid w:val="00DC6FFA"/>
    <w:rsid w:val="00DD0629"/>
    <w:rsid w:val="00DD1498"/>
    <w:rsid w:val="00DE068E"/>
    <w:rsid w:val="00DE2014"/>
    <w:rsid w:val="00DF0A92"/>
    <w:rsid w:val="00DF0B58"/>
    <w:rsid w:val="00DF1A7C"/>
    <w:rsid w:val="00DF49DA"/>
    <w:rsid w:val="00DF587A"/>
    <w:rsid w:val="00DF58E9"/>
    <w:rsid w:val="00DF77FC"/>
    <w:rsid w:val="00E04D37"/>
    <w:rsid w:val="00E17C78"/>
    <w:rsid w:val="00E21762"/>
    <w:rsid w:val="00E241DF"/>
    <w:rsid w:val="00E2435D"/>
    <w:rsid w:val="00E25EE1"/>
    <w:rsid w:val="00E263A5"/>
    <w:rsid w:val="00E26DA0"/>
    <w:rsid w:val="00E32137"/>
    <w:rsid w:val="00E32BF0"/>
    <w:rsid w:val="00E35E03"/>
    <w:rsid w:val="00E40356"/>
    <w:rsid w:val="00E41576"/>
    <w:rsid w:val="00E41965"/>
    <w:rsid w:val="00E432E0"/>
    <w:rsid w:val="00E44852"/>
    <w:rsid w:val="00E47CC2"/>
    <w:rsid w:val="00E515DC"/>
    <w:rsid w:val="00E51953"/>
    <w:rsid w:val="00E520C9"/>
    <w:rsid w:val="00E5360F"/>
    <w:rsid w:val="00E57D47"/>
    <w:rsid w:val="00E60DB6"/>
    <w:rsid w:val="00E6199C"/>
    <w:rsid w:val="00E61FF3"/>
    <w:rsid w:val="00E6295F"/>
    <w:rsid w:val="00E70035"/>
    <w:rsid w:val="00E700B8"/>
    <w:rsid w:val="00E73DE7"/>
    <w:rsid w:val="00E7747F"/>
    <w:rsid w:val="00E80DFB"/>
    <w:rsid w:val="00E91668"/>
    <w:rsid w:val="00E916F4"/>
    <w:rsid w:val="00E9408F"/>
    <w:rsid w:val="00E94332"/>
    <w:rsid w:val="00EA0168"/>
    <w:rsid w:val="00EA1D46"/>
    <w:rsid w:val="00EA1DB6"/>
    <w:rsid w:val="00EA4549"/>
    <w:rsid w:val="00EB1FFF"/>
    <w:rsid w:val="00EB3410"/>
    <w:rsid w:val="00EB47C7"/>
    <w:rsid w:val="00EB5162"/>
    <w:rsid w:val="00EC23D9"/>
    <w:rsid w:val="00ED27C4"/>
    <w:rsid w:val="00ED52E1"/>
    <w:rsid w:val="00EE03E0"/>
    <w:rsid w:val="00EF5D55"/>
    <w:rsid w:val="00F03674"/>
    <w:rsid w:val="00F12F17"/>
    <w:rsid w:val="00F13EBC"/>
    <w:rsid w:val="00F153C0"/>
    <w:rsid w:val="00F1586C"/>
    <w:rsid w:val="00F175BC"/>
    <w:rsid w:val="00F17793"/>
    <w:rsid w:val="00F263C1"/>
    <w:rsid w:val="00F343C9"/>
    <w:rsid w:val="00F37E1C"/>
    <w:rsid w:val="00F40A44"/>
    <w:rsid w:val="00F42149"/>
    <w:rsid w:val="00F43B03"/>
    <w:rsid w:val="00F4419E"/>
    <w:rsid w:val="00F44448"/>
    <w:rsid w:val="00F458F6"/>
    <w:rsid w:val="00F45EF2"/>
    <w:rsid w:val="00F53C44"/>
    <w:rsid w:val="00F544F4"/>
    <w:rsid w:val="00F610C4"/>
    <w:rsid w:val="00F6328F"/>
    <w:rsid w:val="00F637E4"/>
    <w:rsid w:val="00F65188"/>
    <w:rsid w:val="00F66C19"/>
    <w:rsid w:val="00F67A91"/>
    <w:rsid w:val="00F70878"/>
    <w:rsid w:val="00F74B0B"/>
    <w:rsid w:val="00F810B6"/>
    <w:rsid w:val="00F90371"/>
    <w:rsid w:val="00F961C7"/>
    <w:rsid w:val="00F96A25"/>
    <w:rsid w:val="00FA1026"/>
    <w:rsid w:val="00FA1589"/>
    <w:rsid w:val="00FA331F"/>
    <w:rsid w:val="00FA65B4"/>
    <w:rsid w:val="00FB0EA1"/>
    <w:rsid w:val="00FB208E"/>
    <w:rsid w:val="00FB2879"/>
    <w:rsid w:val="00FB2AA9"/>
    <w:rsid w:val="00FB6B3F"/>
    <w:rsid w:val="00FB6DF4"/>
    <w:rsid w:val="00FC0BBC"/>
    <w:rsid w:val="00FC1921"/>
    <w:rsid w:val="00FD0D9D"/>
    <w:rsid w:val="00FD6D00"/>
    <w:rsid w:val="00FE250B"/>
    <w:rsid w:val="00FE5B3C"/>
    <w:rsid w:val="00FE6316"/>
    <w:rsid w:val="00FE73FC"/>
    <w:rsid w:val="00FE7B5B"/>
    <w:rsid w:val="00FF07FB"/>
    <w:rsid w:val="00FF162E"/>
    <w:rsid w:val="00FF64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D3425"/>
  <w15:chartTrackingRefBased/>
  <w15:docId w15:val="{0E5925D1-FFE7-4A39-B64D-A682C247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36D1"/>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Header">
    <w:name w:val="header"/>
    <w:basedOn w:val="Normal"/>
    <w:link w:val="HeaderChar"/>
    <w:uiPriority w:val="99"/>
    <w:unhideWhenUsed/>
    <w:rsid w:val="002C1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1C55"/>
  </w:style>
  <w:style w:type="paragraph" w:styleId="Footer">
    <w:name w:val="footer"/>
    <w:basedOn w:val="Normal"/>
    <w:link w:val="FooterChar"/>
    <w:uiPriority w:val="99"/>
    <w:unhideWhenUsed/>
    <w:rsid w:val="002C1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1C55"/>
  </w:style>
  <w:style w:type="paragraph" w:styleId="ListParagraph">
    <w:name w:val="List Paragraph"/>
    <w:basedOn w:val="Normal"/>
    <w:uiPriority w:val="34"/>
    <w:qFormat/>
    <w:rsid w:val="00BF0D57"/>
    <w:pPr>
      <w:ind w:left="720"/>
      <w:contextualSpacing/>
    </w:pPr>
  </w:style>
  <w:style w:type="character" w:styleId="Hyperlink">
    <w:name w:val="Hyperlink"/>
    <w:basedOn w:val="DefaultParagraphFont"/>
    <w:uiPriority w:val="99"/>
    <w:unhideWhenUsed/>
    <w:rsid w:val="007D2ED9"/>
    <w:rPr>
      <w:color w:val="0563C1" w:themeColor="hyperlink"/>
      <w:u w:val="single"/>
    </w:rPr>
  </w:style>
  <w:style w:type="character" w:styleId="UnresolvedMention">
    <w:name w:val="Unresolved Mention"/>
    <w:basedOn w:val="DefaultParagraphFont"/>
    <w:uiPriority w:val="99"/>
    <w:semiHidden/>
    <w:unhideWhenUsed/>
    <w:rsid w:val="007D2ED9"/>
    <w:rPr>
      <w:color w:val="605E5C"/>
      <w:shd w:val="clear" w:color="auto" w:fill="E1DFDD"/>
    </w:rPr>
  </w:style>
  <w:style w:type="character" w:styleId="FollowedHyperlink">
    <w:name w:val="FollowedHyperlink"/>
    <w:basedOn w:val="DefaultParagraphFont"/>
    <w:uiPriority w:val="99"/>
    <w:semiHidden/>
    <w:unhideWhenUsed/>
    <w:rsid w:val="00891BC5"/>
    <w:rPr>
      <w:color w:val="954F72" w:themeColor="followedHyperlink"/>
      <w:u w:val="single"/>
    </w:rPr>
  </w:style>
  <w:style w:type="paragraph" w:customStyle="1" w:styleId="Default">
    <w:name w:val="Default"/>
    <w:rsid w:val="007E17D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F16CC"/>
    <w:rPr>
      <w:sz w:val="16"/>
      <w:szCs w:val="16"/>
    </w:rPr>
  </w:style>
  <w:style w:type="paragraph" w:styleId="CommentText">
    <w:name w:val="annotation text"/>
    <w:basedOn w:val="Normal"/>
    <w:link w:val="CommentTextChar"/>
    <w:uiPriority w:val="99"/>
    <w:semiHidden/>
    <w:unhideWhenUsed/>
    <w:rsid w:val="00BF16CC"/>
    <w:pPr>
      <w:spacing w:line="240" w:lineRule="auto"/>
    </w:pPr>
    <w:rPr>
      <w:sz w:val="20"/>
      <w:szCs w:val="20"/>
    </w:rPr>
  </w:style>
  <w:style w:type="character" w:customStyle="1" w:styleId="CommentTextChar">
    <w:name w:val="Comment Text Char"/>
    <w:basedOn w:val="DefaultParagraphFont"/>
    <w:link w:val="CommentText"/>
    <w:uiPriority w:val="99"/>
    <w:semiHidden/>
    <w:rsid w:val="00BF16CC"/>
    <w:rPr>
      <w:sz w:val="20"/>
      <w:szCs w:val="20"/>
    </w:rPr>
  </w:style>
  <w:style w:type="paragraph" w:styleId="CommentSubject">
    <w:name w:val="annotation subject"/>
    <w:basedOn w:val="CommentText"/>
    <w:next w:val="CommentText"/>
    <w:link w:val="CommentSubjectChar"/>
    <w:uiPriority w:val="99"/>
    <w:semiHidden/>
    <w:unhideWhenUsed/>
    <w:rsid w:val="00BF16CC"/>
    <w:rPr>
      <w:b/>
      <w:bCs/>
    </w:rPr>
  </w:style>
  <w:style w:type="character" w:customStyle="1" w:styleId="CommentSubjectChar">
    <w:name w:val="Comment Subject Char"/>
    <w:basedOn w:val="CommentTextChar"/>
    <w:link w:val="CommentSubject"/>
    <w:uiPriority w:val="99"/>
    <w:semiHidden/>
    <w:rsid w:val="00BF16CC"/>
    <w:rPr>
      <w:b/>
      <w:bCs/>
      <w:sz w:val="20"/>
      <w:szCs w:val="20"/>
    </w:rPr>
  </w:style>
  <w:style w:type="paragraph" w:styleId="Revision">
    <w:name w:val="Revision"/>
    <w:hidden/>
    <w:uiPriority w:val="99"/>
    <w:semiHidden/>
    <w:rsid w:val="00917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1845">
      <w:bodyDiv w:val="1"/>
      <w:marLeft w:val="0"/>
      <w:marRight w:val="0"/>
      <w:marTop w:val="0"/>
      <w:marBottom w:val="0"/>
      <w:divBdr>
        <w:top w:val="none" w:sz="0" w:space="0" w:color="auto"/>
        <w:left w:val="none" w:sz="0" w:space="0" w:color="auto"/>
        <w:bottom w:val="none" w:sz="0" w:space="0" w:color="auto"/>
        <w:right w:val="none" w:sz="0" w:space="0" w:color="auto"/>
      </w:divBdr>
    </w:div>
    <w:div w:id="389503356">
      <w:bodyDiv w:val="1"/>
      <w:marLeft w:val="0"/>
      <w:marRight w:val="0"/>
      <w:marTop w:val="0"/>
      <w:marBottom w:val="0"/>
      <w:divBdr>
        <w:top w:val="none" w:sz="0" w:space="0" w:color="auto"/>
        <w:left w:val="none" w:sz="0" w:space="0" w:color="auto"/>
        <w:bottom w:val="none" w:sz="0" w:space="0" w:color="auto"/>
        <w:right w:val="none" w:sz="0" w:space="0" w:color="auto"/>
      </w:divBdr>
    </w:div>
    <w:div w:id="1113287485">
      <w:bodyDiv w:val="1"/>
      <w:marLeft w:val="0"/>
      <w:marRight w:val="0"/>
      <w:marTop w:val="0"/>
      <w:marBottom w:val="0"/>
      <w:divBdr>
        <w:top w:val="none" w:sz="0" w:space="0" w:color="auto"/>
        <w:left w:val="none" w:sz="0" w:space="0" w:color="auto"/>
        <w:bottom w:val="none" w:sz="0" w:space="0" w:color="auto"/>
        <w:right w:val="none" w:sz="0" w:space="0" w:color="auto"/>
      </w:divBdr>
    </w:div>
    <w:div w:id="1255477128">
      <w:bodyDiv w:val="1"/>
      <w:marLeft w:val="0"/>
      <w:marRight w:val="0"/>
      <w:marTop w:val="0"/>
      <w:marBottom w:val="0"/>
      <w:divBdr>
        <w:top w:val="none" w:sz="0" w:space="0" w:color="auto"/>
        <w:left w:val="none" w:sz="0" w:space="0" w:color="auto"/>
        <w:bottom w:val="none" w:sz="0" w:space="0" w:color="auto"/>
        <w:right w:val="none" w:sz="0" w:space="0" w:color="auto"/>
      </w:divBdr>
    </w:div>
    <w:div w:id="1612323755">
      <w:bodyDiv w:val="1"/>
      <w:marLeft w:val="0"/>
      <w:marRight w:val="0"/>
      <w:marTop w:val="0"/>
      <w:marBottom w:val="0"/>
      <w:divBdr>
        <w:top w:val="none" w:sz="0" w:space="0" w:color="auto"/>
        <w:left w:val="none" w:sz="0" w:space="0" w:color="auto"/>
        <w:bottom w:val="none" w:sz="0" w:space="0" w:color="auto"/>
        <w:right w:val="none" w:sz="0" w:space="0" w:color="auto"/>
      </w:divBdr>
    </w:div>
    <w:div w:id="1650329427">
      <w:bodyDiv w:val="1"/>
      <w:marLeft w:val="0"/>
      <w:marRight w:val="0"/>
      <w:marTop w:val="0"/>
      <w:marBottom w:val="0"/>
      <w:divBdr>
        <w:top w:val="none" w:sz="0" w:space="0" w:color="auto"/>
        <w:left w:val="none" w:sz="0" w:space="0" w:color="auto"/>
        <w:bottom w:val="none" w:sz="0" w:space="0" w:color="auto"/>
        <w:right w:val="none" w:sz="0" w:space="0" w:color="auto"/>
      </w:divBdr>
    </w:div>
    <w:div w:id="1660035770">
      <w:bodyDiv w:val="1"/>
      <w:marLeft w:val="0"/>
      <w:marRight w:val="0"/>
      <w:marTop w:val="0"/>
      <w:marBottom w:val="0"/>
      <w:divBdr>
        <w:top w:val="none" w:sz="0" w:space="0" w:color="auto"/>
        <w:left w:val="none" w:sz="0" w:space="0" w:color="auto"/>
        <w:bottom w:val="none" w:sz="0" w:space="0" w:color="auto"/>
        <w:right w:val="none" w:sz="0" w:space="0" w:color="auto"/>
      </w:divBdr>
    </w:div>
    <w:div w:id="166149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phamutual.gr/el/ta-amoivaia-kefalaia-mas" TargetMode="External"/><Relationship Id="rId18" Type="http://schemas.openxmlformats.org/officeDocument/2006/relationships/hyperlink" Target="https://www.alphamutual.gr/el/ta-amoivaia-kefalaia-m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lphamutual.gr/el/ta-amoivaia-kefalaia-mas" TargetMode="External"/><Relationship Id="rId17" Type="http://schemas.openxmlformats.org/officeDocument/2006/relationships/hyperlink" Target="https://www.alphamutual.gr/el/ta-amoivaia-kefalaia-ma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fo@alphaasset.gr" TargetMode="External"/><Relationship Id="rId20" Type="http://schemas.openxmlformats.org/officeDocument/2006/relationships/hyperlink" Target="https://www.alphamutual.gr/el/ta-amoivaia-kefalaia-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lphamutual.gr/el/epikoinoniste-mazi-m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lphamutual.gr/el/ta-amoivaia-kefalaia-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phamutual.gr/el/ta-amoivaia-kefalaia-m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08d22c-dc06-46f9-aeb1-4aea74c7309e">
      <Terms xmlns="http://schemas.microsoft.com/office/infopath/2007/PartnerControls"/>
    </lcf76f155ced4ddcb4097134ff3c332f>
    <TaxCatchAll xmlns="a3b2e783-beab-4ac8-b4a8-b911e736b9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C21228DD9F0149954C86A728CE0D4C" ma:contentTypeVersion="11" ma:contentTypeDescription="Create a new document." ma:contentTypeScope="" ma:versionID="6b8b1d6b7b5edd6a2a14f5d303627b5a">
  <xsd:schema xmlns:xsd="http://www.w3.org/2001/XMLSchema" xmlns:xs="http://www.w3.org/2001/XMLSchema" xmlns:p="http://schemas.microsoft.com/office/2006/metadata/properties" xmlns:ns2="7c08d22c-dc06-46f9-aeb1-4aea74c7309e" xmlns:ns3="a3b2e783-beab-4ac8-b4a8-b911e736b94d" targetNamespace="http://schemas.microsoft.com/office/2006/metadata/properties" ma:root="true" ma:fieldsID="b8961984a431e48d6d22e6e5376da776" ns2:_="" ns3:_="">
    <xsd:import namespace="7c08d22c-dc06-46f9-aeb1-4aea74c7309e"/>
    <xsd:import namespace="a3b2e783-beab-4ac8-b4a8-b911e736b9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8d22c-dc06-46f9-aeb1-4aea74c73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b2e783-beab-4ac8-b4a8-b911e736b9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6dac6-3c7f-439c-8762-51cae1d3d320}" ma:internalName="TaxCatchAll" ma:showField="CatchAllData" ma:web="a3b2e783-beab-4ac8-b4a8-b911e736b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19C93-C7EA-44A1-A8EA-1E64E48EBDAA}">
  <ds:schemaRefs>
    <ds:schemaRef ds:uri="http://schemas.microsoft.com/office/2006/metadata/properties"/>
    <ds:schemaRef ds:uri="http://schemas.microsoft.com/office/infopath/2007/PartnerControls"/>
    <ds:schemaRef ds:uri="7c08d22c-dc06-46f9-aeb1-4aea74c7309e"/>
    <ds:schemaRef ds:uri="a3b2e783-beab-4ac8-b4a8-b911e736b94d"/>
  </ds:schemaRefs>
</ds:datastoreItem>
</file>

<file path=customXml/itemProps2.xml><?xml version="1.0" encoding="utf-8"?>
<ds:datastoreItem xmlns:ds="http://schemas.openxmlformats.org/officeDocument/2006/customXml" ds:itemID="{D7445AC1-13F9-4157-83ED-A6CE1DBB5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8d22c-dc06-46f9-aeb1-4aea74c7309e"/>
    <ds:schemaRef ds:uri="a3b2e783-beab-4ac8-b4a8-b911e736b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6AD4F-5300-4937-BA16-7EC45B01A1BB}">
  <ds:schemaRefs>
    <ds:schemaRef ds:uri="http://schemas.openxmlformats.org/officeDocument/2006/bibliography"/>
  </ds:schemaRefs>
</ds:datastoreItem>
</file>

<file path=customXml/itemProps4.xml><?xml version="1.0" encoding="utf-8"?>
<ds:datastoreItem xmlns:ds="http://schemas.openxmlformats.org/officeDocument/2006/customXml" ds:itemID="{1EAE9410-1647-48CD-AF65-00E62F23C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2587</Words>
  <Characters>13972</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c:creator>
  <cp:keywords/>
  <dc:description/>
  <cp:lastModifiedBy>Antonopoulou Konstantina</cp:lastModifiedBy>
  <cp:revision>18</cp:revision>
  <dcterms:created xsi:type="dcterms:W3CDTF">2024-02-05T16:20:00Z</dcterms:created>
  <dcterms:modified xsi:type="dcterms:W3CDTF">2026-01-28T14:19:00Z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0x01010048C21228DD9F0149954C86A728CE0D4C</vt:lpwstr>
  </property>
  <property fmtid="{D5CDD505-2E9C-101B-9397-08002B2CF9AE}" pid="3" name="MSIP_Label_3b8d3c1f-739d-4b15-82f9-3af0fe19718a_Enabled">
    <vt:lpwstr>true</vt:lpwstr>
  </property>
  <property fmtid="{D5CDD505-2E9C-101B-9397-08002B2CF9AE}" pid="4" name="MSIP_Label_3b8d3c1f-739d-4b15-82f9-3af0fe19718a_SetDate">
    <vt:lpwstr>2022-12-29T12:16:51Z</vt:lpwstr>
  </property>
  <property fmtid="{D5CDD505-2E9C-101B-9397-08002B2CF9AE}" pid="5" name="MSIP_Label_3b8d3c1f-739d-4b15-82f9-3af0fe19718a_Method">
    <vt:lpwstr>Privileged</vt:lpwstr>
  </property>
  <property fmtid="{D5CDD505-2E9C-101B-9397-08002B2CF9AE}" pid="6" name="MSIP_Label_3b8d3c1f-739d-4b15-82f9-3af0fe19718a_Name">
    <vt:lpwstr>3b8d3c1f-739d-4b15-82f9-3af0fe19718a</vt:lpwstr>
  </property>
  <property fmtid="{D5CDD505-2E9C-101B-9397-08002B2CF9AE}" pid="7" name="MSIP_Label_3b8d3c1f-739d-4b15-82f9-3af0fe19718a_SiteId">
    <vt:lpwstr>c80515ef-93c1-429d-87e1-d66eb567b009</vt:lpwstr>
  </property>
  <property fmtid="{D5CDD505-2E9C-101B-9397-08002B2CF9AE}" pid="8" name="MSIP_Label_3b8d3c1f-739d-4b15-82f9-3af0fe19718a_ActionId">
    <vt:lpwstr>e70cc3fe-b5bd-48e0-a85e-2d31dbd55011</vt:lpwstr>
  </property>
  <property fmtid="{D5CDD505-2E9C-101B-9397-08002B2CF9AE}" pid="9" name="MSIP_Label_3b8d3c1f-739d-4b15-82f9-3af0fe19718a_ContentBits">
    <vt:lpwstr>0</vt:lpwstr>
  </property>
  <property fmtid="{D5CDD505-2E9C-101B-9397-08002B2CF9AE}" pid="10" name="MediaServiceImageTags">
    <vt:lpwstr/>
  </property>
</Properties>
</file>