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text" w:horzAnchor="margin" w:tblpXSpec="center" w:tblpY="1"/>
        <w:tblOverlap w:val="never"/>
        <w:tblW w:w="1134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1985"/>
        <w:gridCol w:w="101"/>
        <w:gridCol w:w="7409"/>
        <w:gridCol w:w="1846"/>
      </w:tblGrid>
      <w:tr w:rsidR="006277CC" w14:paraId="710F5059" w14:textId="77777777" w:rsidTr="00BC0905">
        <w:tc>
          <w:tcPr>
            <w:tcW w:w="11341" w:type="dxa"/>
            <w:gridSpan w:val="4"/>
            <w:tcBorders>
              <w:top w:val="nil"/>
              <w:left w:val="nil"/>
              <w:bottom w:val="nil"/>
              <w:right w:val="nil"/>
            </w:tcBorders>
          </w:tcPr>
          <w:p w14:paraId="2ED3090F" w14:textId="51D36285" w:rsidR="006277CC" w:rsidRPr="008B7C3B" w:rsidRDefault="00684DCD" w:rsidP="000D5C30">
            <w:pPr>
              <w:rPr>
                <w:b/>
                <w:bCs/>
                <w:color w:val="1F497D"/>
                <w:sz w:val="30"/>
                <w:szCs w:val="30"/>
              </w:rPr>
            </w:pPr>
            <w:r>
              <w:rPr>
                <w:noProof/>
              </w:rPr>
              <w:drawing>
                <wp:anchor distT="0" distB="0" distL="114300" distR="114300" simplePos="0" relativeHeight="251659267" behindDoc="1" locked="0" layoutInCell="1" allowOverlap="1" wp14:anchorId="29516625" wp14:editId="3EA54710">
                  <wp:simplePos x="0" y="0"/>
                  <wp:positionH relativeFrom="column">
                    <wp:posOffset>5100320</wp:posOffset>
                  </wp:positionH>
                  <wp:positionV relativeFrom="paragraph">
                    <wp:posOffset>-104775</wp:posOffset>
                  </wp:positionV>
                  <wp:extent cx="2350135" cy="1133475"/>
                  <wp:effectExtent l="0" t="0" r="0" b="0"/>
                  <wp:wrapNone/>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0135" cy="1133475"/>
                          </a:xfrm>
                          <a:prstGeom prst="rect">
                            <a:avLst/>
                          </a:prstGeom>
                          <a:noFill/>
                          <a:ln>
                            <a:noFill/>
                          </a:ln>
                        </pic:spPr>
                      </pic:pic>
                    </a:graphicData>
                  </a:graphic>
                </wp:anchor>
              </w:drawing>
            </w:r>
            <w:r w:rsidR="008B7C3B">
              <w:rPr>
                <w:b/>
                <w:bCs/>
                <w:color w:val="1F497D"/>
                <w:sz w:val="30"/>
                <w:szCs w:val="30"/>
                <w:lang w:val="en-US"/>
              </w:rPr>
              <w:t xml:space="preserve">                                                                                                                                                               </w:t>
            </w:r>
            <w:r w:rsidR="00D22D0A" w:rsidRPr="008B7C3B">
              <w:rPr>
                <w:b/>
                <w:bCs/>
                <w:color w:val="1F497D"/>
                <w:sz w:val="30"/>
                <w:szCs w:val="30"/>
                <w:lang w:val="en-US"/>
              </w:rPr>
              <w:t>Key Information Document</w:t>
            </w:r>
            <w:r w:rsidR="008B7C3B" w:rsidRPr="008B7C3B">
              <w:rPr>
                <w:b/>
                <w:bCs/>
                <w:color w:val="1F497D"/>
                <w:sz w:val="30"/>
                <w:szCs w:val="30"/>
                <w:lang w:val="en-US"/>
              </w:rPr>
              <w:t xml:space="preserve">                                                                     </w:t>
            </w:r>
          </w:p>
        </w:tc>
      </w:tr>
      <w:tr w:rsidR="006277CC" w:rsidRPr="000177EA" w14:paraId="06608A97" w14:textId="77777777" w:rsidTr="00BC0905">
        <w:tc>
          <w:tcPr>
            <w:tcW w:w="11341" w:type="dxa"/>
            <w:gridSpan w:val="4"/>
            <w:tcBorders>
              <w:top w:val="nil"/>
              <w:left w:val="nil"/>
              <w:bottom w:val="nil"/>
              <w:right w:val="nil"/>
            </w:tcBorders>
          </w:tcPr>
          <w:p w14:paraId="43AF1FA8" w14:textId="77777777" w:rsidR="00684DCD" w:rsidRDefault="00684DCD" w:rsidP="000D5C30">
            <w:pPr>
              <w:rPr>
                <w:b/>
                <w:bCs/>
                <w:color w:val="1F497D"/>
                <w:lang w:val="en-US"/>
              </w:rPr>
            </w:pPr>
          </w:p>
          <w:p w14:paraId="2A3C7918" w14:textId="77777777" w:rsidR="00684DCD" w:rsidRDefault="00684DCD" w:rsidP="000D5C30">
            <w:pPr>
              <w:rPr>
                <w:b/>
                <w:bCs/>
                <w:color w:val="1F497D"/>
                <w:lang w:val="en-US"/>
              </w:rPr>
            </w:pPr>
          </w:p>
          <w:p w14:paraId="203B4E86" w14:textId="305E3C4F" w:rsidR="00CC69CA" w:rsidRPr="00687368" w:rsidRDefault="00CC69CA" w:rsidP="000D5C30">
            <w:pPr>
              <w:rPr>
                <w:b/>
                <w:bCs/>
                <w:color w:val="1F497D"/>
                <w:lang w:val="en-US"/>
              </w:rPr>
            </w:pPr>
            <w:r>
              <w:rPr>
                <w:b/>
                <w:bCs/>
                <w:color w:val="1F497D"/>
                <w:lang w:val="en-US"/>
              </w:rPr>
              <w:t>Purpose</w:t>
            </w:r>
          </w:p>
          <w:p w14:paraId="47D66153" w14:textId="0555CB02" w:rsidR="0064550C" w:rsidRPr="007567AB" w:rsidRDefault="00CC69CA" w:rsidP="000D5C30">
            <w:pPr>
              <w:jc w:val="both"/>
              <w:rPr>
                <w:sz w:val="18"/>
                <w:szCs w:val="18"/>
                <w:lang w:val="en-US"/>
              </w:rPr>
            </w:pPr>
            <w:r w:rsidRPr="008B7C3B">
              <w:rPr>
                <w:sz w:val="18"/>
                <w:szCs w:val="18"/>
                <w:lang w:val="en-US"/>
              </w:rPr>
              <w:t xml:space="preserve">This document provides you with key information about this investment product. It is not marketing material. The information is required by law regarding the key information documents related to </w:t>
            </w:r>
            <w:r w:rsidR="00137BBB">
              <w:rPr>
                <w:sz w:val="18"/>
                <w:szCs w:val="18"/>
                <w:lang w:val="en-US"/>
              </w:rPr>
              <w:t xml:space="preserve">this product </w:t>
            </w:r>
            <w:r w:rsidRPr="008B7C3B">
              <w:rPr>
                <w:sz w:val="18"/>
                <w:szCs w:val="18"/>
                <w:lang w:val="en-US"/>
              </w:rPr>
              <w:t>to help you understand the nature, risks, costs potential gains and losses of this product and to help you compare it with other products.</w:t>
            </w:r>
          </w:p>
        </w:tc>
      </w:tr>
      <w:tr w:rsidR="00866DC4" w:rsidRPr="00E75010" w14:paraId="62569B1C" w14:textId="77777777" w:rsidTr="00BC0905">
        <w:trPr>
          <w:trHeight w:val="204"/>
        </w:trPr>
        <w:tc>
          <w:tcPr>
            <w:tcW w:w="2086" w:type="dxa"/>
            <w:gridSpan w:val="2"/>
            <w:tcBorders>
              <w:top w:val="nil"/>
              <w:left w:val="nil"/>
              <w:bottom w:val="nil"/>
              <w:right w:val="nil"/>
            </w:tcBorders>
          </w:tcPr>
          <w:p w14:paraId="73933041" w14:textId="77777777" w:rsidR="00684DCD" w:rsidRDefault="00684DCD" w:rsidP="000D5C30">
            <w:pPr>
              <w:spacing w:line="120" w:lineRule="auto"/>
              <w:rPr>
                <w:b/>
                <w:bCs/>
                <w:color w:val="1F497D"/>
                <w:lang w:val="en-US"/>
              </w:rPr>
            </w:pPr>
          </w:p>
          <w:p w14:paraId="5128AD4B" w14:textId="6CFE51C0" w:rsidR="00866DC4" w:rsidRPr="00CB3FBD" w:rsidRDefault="00CC69CA" w:rsidP="000D5C30">
            <w:pPr>
              <w:rPr>
                <w:b/>
                <w:bCs/>
                <w:color w:val="1F497D"/>
              </w:rPr>
            </w:pPr>
            <w:r>
              <w:rPr>
                <w:b/>
                <w:bCs/>
                <w:color w:val="1F497D"/>
                <w:lang w:val="en-US"/>
              </w:rPr>
              <w:t>Product</w:t>
            </w:r>
          </w:p>
        </w:tc>
        <w:tc>
          <w:tcPr>
            <w:tcW w:w="9255" w:type="dxa"/>
            <w:gridSpan w:val="2"/>
            <w:tcBorders>
              <w:top w:val="nil"/>
              <w:left w:val="nil"/>
              <w:bottom w:val="nil"/>
              <w:right w:val="nil"/>
            </w:tcBorders>
          </w:tcPr>
          <w:p w14:paraId="2CD429DC" w14:textId="1D59D1B4" w:rsidR="00635DAA" w:rsidRPr="0081047F" w:rsidRDefault="00635DAA" w:rsidP="000D5C30">
            <w:pPr>
              <w:rPr>
                <w:sz w:val="18"/>
                <w:szCs w:val="18"/>
              </w:rPr>
            </w:pPr>
          </w:p>
        </w:tc>
      </w:tr>
      <w:tr w:rsidR="00CC69CA" w:rsidRPr="000177EA" w14:paraId="2B633191" w14:textId="77777777" w:rsidTr="00BC0905">
        <w:trPr>
          <w:trHeight w:val="204"/>
        </w:trPr>
        <w:tc>
          <w:tcPr>
            <w:tcW w:w="2086" w:type="dxa"/>
            <w:gridSpan w:val="2"/>
            <w:tcBorders>
              <w:top w:val="nil"/>
              <w:left w:val="nil"/>
              <w:bottom w:val="nil"/>
              <w:right w:val="nil"/>
            </w:tcBorders>
          </w:tcPr>
          <w:p w14:paraId="7A8FEC64" w14:textId="00CBF11F" w:rsidR="00CC69CA" w:rsidRPr="00954F81" w:rsidRDefault="00CC69CA" w:rsidP="000D5C30">
            <w:pPr>
              <w:rPr>
                <w:b/>
                <w:bCs/>
                <w:color w:val="1F497D"/>
              </w:rPr>
            </w:pPr>
            <w:r>
              <w:rPr>
                <w:b/>
                <w:bCs/>
                <w:sz w:val="18"/>
                <w:szCs w:val="18"/>
                <w:lang w:val="en-US"/>
              </w:rPr>
              <w:t>Product Name</w:t>
            </w:r>
            <w:r w:rsidRPr="00F44448">
              <w:rPr>
                <w:b/>
                <w:bCs/>
                <w:sz w:val="18"/>
                <w:szCs w:val="18"/>
              </w:rPr>
              <w:t>:</w:t>
            </w:r>
          </w:p>
        </w:tc>
        <w:tc>
          <w:tcPr>
            <w:tcW w:w="9255" w:type="dxa"/>
            <w:gridSpan w:val="2"/>
            <w:tcBorders>
              <w:top w:val="nil"/>
              <w:left w:val="nil"/>
              <w:bottom w:val="nil"/>
              <w:right w:val="nil"/>
            </w:tcBorders>
          </w:tcPr>
          <w:p w14:paraId="7E6CB4DB" w14:textId="65D50157" w:rsidR="00CC69CA" w:rsidRPr="00835134" w:rsidRDefault="007567AB" w:rsidP="000D5C30">
            <w:pPr>
              <w:rPr>
                <w:sz w:val="18"/>
                <w:szCs w:val="18"/>
                <w:lang w:val="en-US"/>
              </w:rPr>
            </w:pPr>
            <w:r w:rsidRPr="007567AB">
              <w:rPr>
                <w:sz w:val="18"/>
                <w:szCs w:val="18"/>
                <w:lang w:val="en-US"/>
              </w:rPr>
              <w:t xml:space="preserve">ALPHA PROSPERITY </w:t>
            </w:r>
            <w:r w:rsidRPr="008F7AC3">
              <w:rPr>
                <w:sz w:val="18"/>
                <w:szCs w:val="18"/>
                <w:lang w:val="en-US"/>
              </w:rPr>
              <w:t>I</w:t>
            </w:r>
            <w:r w:rsidR="002408C8" w:rsidRPr="008F7AC3">
              <w:rPr>
                <w:sz w:val="18"/>
                <w:szCs w:val="18"/>
                <w:lang w:val="en-US"/>
              </w:rPr>
              <w:t>V</w:t>
            </w:r>
            <w:r w:rsidRPr="007567AB">
              <w:rPr>
                <w:sz w:val="18"/>
                <w:szCs w:val="18"/>
                <w:lang w:val="en-US"/>
              </w:rPr>
              <w:t xml:space="preserve"> STEP-UP</w:t>
            </w:r>
            <w:r w:rsidRPr="008D2616">
              <w:rPr>
                <w:sz w:val="18"/>
                <w:szCs w:val="18"/>
                <w:lang w:val="en-US"/>
              </w:rPr>
              <w:t xml:space="preserve"> </w:t>
            </w:r>
            <w:r w:rsidR="008D2616" w:rsidRPr="008D2616">
              <w:rPr>
                <w:sz w:val="18"/>
                <w:szCs w:val="18"/>
                <w:lang w:val="en-US"/>
              </w:rPr>
              <w:t xml:space="preserve">STRUCTURED FUND </w:t>
            </w:r>
            <w:r w:rsidR="00CC69CA" w:rsidRPr="008D2616">
              <w:rPr>
                <w:sz w:val="18"/>
                <w:szCs w:val="18"/>
                <w:lang w:val="en-US"/>
              </w:rPr>
              <w:t>(hereafter</w:t>
            </w:r>
            <w:r w:rsidR="00CC69CA" w:rsidRPr="00835134">
              <w:rPr>
                <w:color w:val="000000" w:themeColor="text1"/>
                <w:sz w:val="18"/>
                <w:szCs w:val="18"/>
                <w:lang w:val="en-US"/>
              </w:rPr>
              <w:t xml:space="preserve"> “</w:t>
            </w:r>
            <w:r w:rsidR="00117399">
              <w:rPr>
                <w:color w:val="000000" w:themeColor="text1"/>
                <w:sz w:val="18"/>
                <w:szCs w:val="18"/>
                <w:lang w:val="en-US"/>
              </w:rPr>
              <w:t xml:space="preserve">the </w:t>
            </w:r>
            <w:r w:rsidR="00CC69CA" w:rsidRPr="00835134">
              <w:rPr>
                <w:color w:val="000000" w:themeColor="text1"/>
                <w:sz w:val="18"/>
                <w:szCs w:val="18"/>
                <w:lang w:val="en-US"/>
              </w:rPr>
              <w:t>Fund”)</w:t>
            </w:r>
          </w:p>
        </w:tc>
      </w:tr>
      <w:tr w:rsidR="00CC69CA" w14:paraId="41B41F93" w14:textId="77777777" w:rsidTr="00BC0905">
        <w:trPr>
          <w:trHeight w:val="194"/>
        </w:trPr>
        <w:tc>
          <w:tcPr>
            <w:tcW w:w="2086" w:type="dxa"/>
            <w:gridSpan w:val="2"/>
            <w:tcBorders>
              <w:top w:val="nil"/>
              <w:left w:val="nil"/>
              <w:bottom w:val="nil"/>
              <w:right w:val="nil"/>
            </w:tcBorders>
          </w:tcPr>
          <w:p w14:paraId="4302531B" w14:textId="015D0ED1" w:rsidR="00CC69CA" w:rsidRPr="00F44448" w:rsidRDefault="00CC69CA" w:rsidP="000D5C30">
            <w:pPr>
              <w:rPr>
                <w:b/>
                <w:bCs/>
                <w:sz w:val="18"/>
                <w:szCs w:val="18"/>
              </w:rPr>
            </w:pPr>
            <w:r w:rsidRPr="00F44448">
              <w:rPr>
                <w:b/>
                <w:bCs/>
                <w:sz w:val="18"/>
                <w:szCs w:val="18"/>
                <w:lang w:val="en-US"/>
              </w:rPr>
              <w:t>ISIN</w:t>
            </w:r>
            <w:r w:rsidRPr="00F44448">
              <w:rPr>
                <w:b/>
                <w:bCs/>
                <w:sz w:val="18"/>
                <w:szCs w:val="18"/>
              </w:rPr>
              <w:t>:</w:t>
            </w:r>
          </w:p>
        </w:tc>
        <w:tc>
          <w:tcPr>
            <w:tcW w:w="9255" w:type="dxa"/>
            <w:gridSpan w:val="2"/>
            <w:tcBorders>
              <w:top w:val="nil"/>
              <w:left w:val="nil"/>
              <w:bottom w:val="nil"/>
              <w:right w:val="nil"/>
            </w:tcBorders>
          </w:tcPr>
          <w:p w14:paraId="5FCFCB38" w14:textId="6B9D7DC9" w:rsidR="00CC69CA" w:rsidRPr="002408C8" w:rsidRDefault="005A7FDE" w:rsidP="000D5C30">
            <w:pPr>
              <w:rPr>
                <w:sz w:val="18"/>
                <w:szCs w:val="18"/>
                <w:lang w:val="en-US"/>
              </w:rPr>
            </w:pPr>
            <w:r w:rsidRPr="005A7FDE">
              <w:rPr>
                <w:sz w:val="18"/>
                <w:szCs w:val="18"/>
                <w:lang w:val="en-US"/>
              </w:rPr>
              <w:t>GRF000548005</w:t>
            </w:r>
          </w:p>
        </w:tc>
      </w:tr>
      <w:tr w:rsidR="00CC69CA" w:rsidRPr="000177EA" w14:paraId="5762E597" w14:textId="77777777" w:rsidTr="00BC0905">
        <w:trPr>
          <w:trHeight w:val="20"/>
        </w:trPr>
        <w:tc>
          <w:tcPr>
            <w:tcW w:w="2086" w:type="dxa"/>
            <w:gridSpan w:val="2"/>
            <w:tcBorders>
              <w:top w:val="nil"/>
              <w:left w:val="nil"/>
              <w:bottom w:val="nil"/>
              <w:right w:val="nil"/>
            </w:tcBorders>
          </w:tcPr>
          <w:p w14:paraId="269B47E8" w14:textId="5D866E9F" w:rsidR="00CC69CA" w:rsidRPr="00F44448" w:rsidRDefault="00CC69CA" w:rsidP="000D5C30">
            <w:pPr>
              <w:rPr>
                <w:b/>
                <w:bCs/>
                <w:sz w:val="18"/>
                <w:szCs w:val="18"/>
              </w:rPr>
            </w:pPr>
            <w:r>
              <w:rPr>
                <w:b/>
                <w:bCs/>
                <w:sz w:val="18"/>
                <w:szCs w:val="18"/>
                <w:lang w:val="en-US"/>
              </w:rPr>
              <w:t xml:space="preserve">PRIIPs </w:t>
            </w:r>
            <w:r w:rsidR="00137BBB">
              <w:rPr>
                <w:b/>
                <w:bCs/>
                <w:sz w:val="18"/>
                <w:szCs w:val="18"/>
                <w:lang w:val="en-US"/>
              </w:rPr>
              <w:t>Manufacturer</w:t>
            </w:r>
            <w:r w:rsidRPr="00F44448">
              <w:rPr>
                <w:b/>
                <w:bCs/>
                <w:sz w:val="18"/>
                <w:szCs w:val="18"/>
              </w:rPr>
              <w:t>:</w:t>
            </w:r>
          </w:p>
        </w:tc>
        <w:tc>
          <w:tcPr>
            <w:tcW w:w="9255" w:type="dxa"/>
            <w:gridSpan w:val="2"/>
            <w:tcBorders>
              <w:top w:val="nil"/>
              <w:left w:val="nil"/>
              <w:bottom w:val="nil"/>
              <w:right w:val="nil"/>
            </w:tcBorders>
          </w:tcPr>
          <w:p w14:paraId="362C2A63" w14:textId="6803FFB2" w:rsidR="00CC69CA" w:rsidRPr="00835134" w:rsidRDefault="00CC69CA" w:rsidP="000D5C30">
            <w:pPr>
              <w:rPr>
                <w:sz w:val="18"/>
                <w:szCs w:val="18"/>
                <w:lang w:val="en-US"/>
              </w:rPr>
            </w:pPr>
            <w:r w:rsidRPr="00835134">
              <w:rPr>
                <w:sz w:val="18"/>
                <w:szCs w:val="18"/>
                <w:lang w:val="en-US"/>
              </w:rPr>
              <w:t>Alpha Asset Management M.F.M.C, (hereafter “the Company”)</w:t>
            </w:r>
            <w:r w:rsidR="00A23519" w:rsidRPr="00A23519">
              <w:rPr>
                <w:lang w:val="en-US"/>
              </w:rPr>
              <w:t xml:space="preserve"> </w:t>
            </w:r>
            <w:r w:rsidR="00A23519" w:rsidRPr="00A23519">
              <w:rPr>
                <w:sz w:val="18"/>
                <w:szCs w:val="18"/>
                <w:lang w:val="en-US"/>
              </w:rPr>
              <w:t>a member of Alpha Bank Group</w:t>
            </w:r>
          </w:p>
        </w:tc>
      </w:tr>
      <w:tr w:rsidR="00CC69CA" w:rsidRPr="000177EA" w14:paraId="36E61170" w14:textId="77777777" w:rsidTr="00BC0905">
        <w:trPr>
          <w:trHeight w:val="215"/>
        </w:trPr>
        <w:tc>
          <w:tcPr>
            <w:tcW w:w="2086" w:type="dxa"/>
            <w:gridSpan w:val="2"/>
            <w:tcBorders>
              <w:top w:val="nil"/>
              <w:left w:val="nil"/>
              <w:bottom w:val="nil"/>
              <w:right w:val="nil"/>
            </w:tcBorders>
          </w:tcPr>
          <w:p w14:paraId="70A6BCDC" w14:textId="4D5C7C65" w:rsidR="00CC69CA" w:rsidRPr="00AE7598" w:rsidRDefault="00CC69CA" w:rsidP="000D5C30">
            <w:pPr>
              <w:rPr>
                <w:b/>
                <w:bCs/>
                <w:sz w:val="18"/>
                <w:szCs w:val="18"/>
              </w:rPr>
            </w:pPr>
            <w:r w:rsidRPr="00AE7598">
              <w:rPr>
                <w:b/>
                <w:bCs/>
                <w:sz w:val="18"/>
                <w:szCs w:val="18"/>
                <w:lang w:val="en-US"/>
              </w:rPr>
              <w:t>Supervising Authority</w:t>
            </w:r>
            <w:r w:rsidRPr="00AE7598">
              <w:rPr>
                <w:b/>
                <w:bCs/>
                <w:sz w:val="18"/>
                <w:szCs w:val="18"/>
              </w:rPr>
              <w:t>:</w:t>
            </w:r>
          </w:p>
        </w:tc>
        <w:tc>
          <w:tcPr>
            <w:tcW w:w="9255" w:type="dxa"/>
            <w:gridSpan w:val="2"/>
            <w:tcBorders>
              <w:top w:val="nil"/>
              <w:left w:val="nil"/>
              <w:bottom w:val="nil"/>
              <w:right w:val="nil"/>
            </w:tcBorders>
          </w:tcPr>
          <w:p w14:paraId="080EB297" w14:textId="7ED51CC1" w:rsidR="00CC69CA" w:rsidRPr="00AE7598" w:rsidRDefault="00844CAE" w:rsidP="000D5C30">
            <w:pPr>
              <w:rPr>
                <w:sz w:val="18"/>
                <w:szCs w:val="18"/>
                <w:lang w:val="en-US"/>
              </w:rPr>
            </w:pPr>
            <w:r w:rsidRPr="0007634C">
              <w:rPr>
                <w:sz w:val="18"/>
                <w:szCs w:val="18"/>
                <w:lang w:val="en-US"/>
              </w:rPr>
              <w:t>Hellenic Capital Market Commission (HCMC)</w:t>
            </w:r>
          </w:p>
        </w:tc>
      </w:tr>
      <w:tr w:rsidR="00CB01B3" w:rsidRPr="000177EA" w14:paraId="606EDC80" w14:textId="77777777" w:rsidTr="00BC0905">
        <w:trPr>
          <w:trHeight w:val="215"/>
        </w:trPr>
        <w:tc>
          <w:tcPr>
            <w:tcW w:w="11341" w:type="dxa"/>
            <w:gridSpan w:val="4"/>
            <w:tcBorders>
              <w:top w:val="nil"/>
              <w:left w:val="nil"/>
              <w:bottom w:val="nil"/>
              <w:right w:val="nil"/>
            </w:tcBorders>
          </w:tcPr>
          <w:p w14:paraId="635C211A" w14:textId="4183F5D0" w:rsidR="00CB01B3" w:rsidRPr="00AE7598" w:rsidRDefault="00C75050" w:rsidP="00CB01B3">
            <w:pPr>
              <w:jc w:val="both"/>
              <w:rPr>
                <w:sz w:val="18"/>
                <w:szCs w:val="18"/>
                <w:lang w:val="en-US"/>
              </w:rPr>
            </w:pPr>
            <w:r w:rsidRPr="008864CA">
              <w:rPr>
                <w:sz w:val="18"/>
                <w:szCs w:val="18"/>
                <w:lang w:val="en-US"/>
              </w:rPr>
              <w:t>The Hellenic Capital Market Commission is responsible for the supervision of the Company in relation to this Key Information Document. The Fund is authorised in Greece. The Company is licensed in Greece and is subject to supervision by the Hellenic Capital Market Commission.</w:t>
            </w:r>
          </w:p>
        </w:tc>
      </w:tr>
      <w:tr w:rsidR="00CB01B3" w:rsidRPr="000177EA" w14:paraId="0B6BEAAF" w14:textId="77777777" w:rsidTr="00BC0905">
        <w:trPr>
          <w:trHeight w:val="307"/>
        </w:trPr>
        <w:tc>
          <w:tcPr>
            <w:tcW w:w="11341" w:type="dxa"/>
            <w:gridSpan w:val="4"/>
            <w:tcBorders>
              <w:top w:val="nil"/>
              <w:left w:val="nil"/>
              <w:bottom w:val="nil"/>
              <w:right w:val="nil"/>
            </w:tcBorders>
          </w:tcPr>
          <w:p w14:paraId="22456236" w14:textId="3611279C" w:rsidR="00CB01B3" w:rsidRPr="000177EA" w:rsidRDefault="00CB01B3" w:rsidP="00CB01B3">
            <w:pPr>
              <w:jc w:val="both"/>
              <w:rPr>
                <w:sz w:val="18"/>
                <w:szCs w:val="18"/>
                <w:lang w:val="en-US"/>
              </w:rPr>
            </w:pPr>
            <w:r w:rsidRPr="00AE7598">
              <w:rPr>
                <w:sz w:val="18"/>
                <w:szCs w:val="18"/>
                <w:lang w:val="en-US"/>
              </w:rPr>
              <w:t xml:space="preserve">For any information, clarification or comment about the product you can call at </w:t>
            </w:r>
            <w:r w:rsidRPr="00AE7598">
              <w:rPr>
                <w:rFonts w:ascii="Calibri" w:eastAsia="Calibri" w:hAnsi="Calibri" w:cs="Times New Roman"/>
                <w:color w:val="000000"/>
                <w:sz w:val="18"/>
                <w:szCs w:val="18"/>
                <w:lang w:val="en-US"/>
              </w:rPr>
              <w:t xml:space="preserve">+30 210 3266505 </w:t>
            </w:r>
            <w:r w:rsidRPr="00AE7598">
              <w:rPr>
                <w:sz w:val="18"/>
                <w:szCs w:val="18"/>
                <w:lang w:val="en-US"/>
              </w:rPr>
              <w:t xml:space="preserve">or visit website </w:t>
            </w:r>
            <w:hyperlink r:id="rId12" w:history="1">
              <w:r w:rsidRPr="00AE7598">
                <w:rPr>
                  <w:rStyle w:val="Hyperlink"/>
                  <w:sz w:val="18"/>
                  <w:szCs w:val="18"/>
                  <w:lang w:val="en-US"/>
                </w:rPr>
                <w:t>www.alphamutual.gr</w:t>
              </w:r>
            </w:hyperlink>
            <w:r w:rsidRPr="00AE7598">
              <w:rPr>
                <w:sz w:val="18"/>
                <w:szCs w:val="18"/>
                <w:lang w:val="en-US"/>
              </w:rPr>
              <w:t xml:space="preserve">. The information provided in this document is accurate </w:t>
            </w:r>
            <w:r w:rsidRPr="00F41522">
              <w:rPr>
                <w:sz w:val="18"/>
                <w:szCs w:val="18"/>
                <w:lang w:val="en-US"/>
              </w:rPr>
              <w:t xml:space="preserve">as of </w:t>
            </w:r>
            <w:r w:rsidR="000177EA" w:rsidRPr="000177EA">
              <w:rPr>
                <w:sz w:val="18"/>
                <w:szCs w:val="18"/>
                <w:lang w:val="en-US"/>
              </w:rPr>
              <w:t>30/01/2026.</w:t>
            </w:r>
          </w:p>
          <w:p w14:paraId="12E8E37D" w14:textId="6C73AD6C" w:rsidR="00A146C6" w:rsidRPr="00AE7598" w:rsidRDefault="00A146C6" w:rsidP="00CB01B3">
            <w:pPr>
              <w:jc w:val="both"/>
              <w:rPr>
                <w:sz w:val="18"/>
                <w:szCs w:val="18"/>
                <w:lang w:val="en-US"/>
              </w:rPr>
            </w:pPr>
            <w:r>
              <w:rPr>
                <w:b/>
                <w:bCs/>
                <w:sz w:val="18"/>
                <w:szCs w:val="18"/>
                <w:lang w:val="en-US"/>
              </w:rPr>
              <w:t>You are about to purchase a product that is not simple and may be difficult to understand.</w:t>
            </w:r>
          </w:p>
        </w:tc>
      </w:tr>
      <w:tr w:rsidR="0035527C" w:rsidRPr="001F3C78" w14:paraId="7FBC78BA" w14:textId="77777777" w:rsidTr="00BC0905">
        <w:trPr>
          <w:trHeight w:val="73"/>
        </w:trPr>
        <w:tc>
          <w:tcPr>
            <w:tcW w:w="11341" w:type="dxa"/>
            <w:gridSpan w:val="4"/>
            <w:tcBorders>
              <w:top w:val="nil"/>
              <w:left w:val="nil"/>
              <w:bottom w:val="nil"/>
              <w:right w:val="nil"/>
            </w:tcBorders>
          </w:tcPr>
          <w:p w14:paraId="072DAE56" w14:textId="77777777" w:rsidR="00684DCD" w:rsidRDefault="00684DCD" w:rsidP="000D5C30">
            <w:pPr>
              <w:spacing w:line="120" w:lineRule="auto"/>
              <w:jc w:val="both"/>
              <w:rPr>
                <w:b/>
                <w:bCs/>
                <w:color w:val="1F497D"/>
                <w:lang w:val="en-US"/>
              </w:rPr>
            </w:pPr>
          </w:p>
          <w:p w14:paraId="4BED25F4" w14:textId="0A26EC73" w:rsidR="00CC69CA" w:rsidRDefault="00CC69CA" w:rsidP="000D5C30">
            <w:pPr>
              <w:jc w:val="both"/>
              <w:rPr>
                <w:b/>
                <w:bCs/>
                <w:color w:val="1F497D"/>
                <w:lang w:val="en-US"/>
              </w:rPr>
            </w:pPr>
            <w:r w:rsidRPr="00AE7598">
              <w:rPr>
                <w:b/>
                <w:bCs/>
                <w:color w:val="1F497D"/>
                <w:lang w:val="en-US"/>
              </w:rPr>
              <w:t>What is this product?</w:t>
            </w:r>
          </w:p>
          <w:p w14:paraId="4D3E2D43" w14:textId="77777777" w:rsidR="0005505C" w:rsidRDefault="0005505C" w:rsidP="000D5C30">
            <w:pPr>
              <w:jc w:val="both"/>
              <w:rPr>
                <w:b/>
                <w:bCs/>
                <w:color w:val="1F497D"/>
                <w:lang w:val="en-US"/>
              </w:rPr>
            </w:pPr>
          </w:p>
          <w:p w14:paraId="63D5E166" w14:textId="6A0497BD" w:rsidR="00CC69CA" w:rsidRPr="00AE7598" w:rsidRDefault="00CC69CA" w:rsidP="000D5C30">
            <w:pPr>
              <w:jc w:val="both"/>
              <w:rPr>
                <w:b/>
                <w:bCs/>
                <w:sz w:val="20"/>
                <w:szCs w:val="20"/>
                <w:lang w:val="en-US"/>
              </w:rPr>
            </w:pPr>
            <w:r w:rsidRPr="00AE7598">
              <w:rPr>
                <w:b/>
                <w:bCs/>
                <w:sz w:val="20"/>
                <w:szCs w:val="20"/>
                <w:lang w:val="en-US"/>
              </w:rPr>
              <w:t>Type</w:t>
            </w:r>
          </w:p>
          <w:p w14:paraId="374DF2A9" w14:textId="6431C000" w:rsidR="00CB01B3" w:rsidRPr="00DF78B3" w:rsidRDefault="00CB01B3" w:rsidP="00CB01B3">
            <w:pPr>
              <w:jc w:val="both"/>
              <w:rPr>
                <w:sz w:val="18"/>
                <w:szCs w:val="18"/>
                <w:lang w:val="en-US"/>
              </w:rPr>
            </w:pPr>
            <w:bookmarkStart w:id="0" w:name="_Hlk123153200"/>
            <w:r w:rsidRPr="00DF78B3">
              <w:rPr>
                <w:sz w:val="18"/>
                <w:szCs w:val="18"/>
                <w:lang w:val="en-US"/>
              </w:rPr>
              <w:t>The Fund i</w:t>
            </w:r>
            <w:r>
              <w:rPr>
                <w:sz w:val="18"/>
                <w:szCs w:val="18"/>
                <w:lang w:val="en-US"/>
              </w:rPr>
              <w:t>s a</w:t>
            </w:r>
            <w:r w:rsidRPr="00DF78B3">
              <w:rPr>
                <w:sz w:val="18"/>
                <w:szCs w:val="18"/>
                <w:lang w:val="en-US"/>
              </w:rPr>
              <w:t xml:space="preserve"> form of Collective investment in transferable securities (</w:t>
            </w:r>
            <w:r>
              <w:rPr>
                <w:sz w:val="18"/>
                <w:szCs w:val="18"/>
                <w:lang w:val="en-US"/>
              </w:rPr>
              <w:t>“</w:t>
            </w:r>
            <w:r w:rsidRPr="00DF78B3">
              <w:rPr>
                <w:sz w:val="18"/>
                <w:szCs w:val="18"/>
                <w:lang w:val="en-US"/>
              </w:rPr>
              <w:t>UCITS</w:t>
            </w:r>
            <w:r>
              <w:rPr>
                <w:sz w:val="18"/>
                <w:szCs w:val="18"/>
                <w:lang w:val="en-US"/>
              </w:rPr>
              <w:t>”</w:t>
            </w:r>
            <w:r w:rsidRPr="00DF78B3">
              <w:rPr>
                <w:sz w:val="18"/>
                <w:szCs w:val="18"/>
                <w:lang w:val="en-US"/>
              </w:rPr>
              <w:t>), as defined by the provisions of Law 4099/2012 and the Directive 2009/65/EC</w:t>
            </w:r>
            <w:r>
              <w:rPr>
                <w:sz w:val="18"/>
                <w:szCs w:val="18"/>
                <w:lang w:val="en-US"/>
              </w:rPr>
              <w:t xml:space="preserve"> as applicable. The Fund h</w:t>
            </w:r>
            <w:r w:rsidRPr="00DF78B3">
              <w:rPr>
                <w:sz w:val="18"/>
                <w:szCs w:val="18"/>
                <w:lang w:val="en-US"/>
              </w:rPr>
              <w:t>as no legal form,</w:t>
            </w:r>
            <w:r w:rsidR="00C75050" w:rsidRPr="002C2B92">
              <w:rPr>
                <w:sz w:val="18"/>
                <w:szCs w:val="18"/>
                <w:lang w:val="en-US"/>
              </w:rPr>
              <w:t xml:space="preserve"> constitutes a group of assets that</w:t>
            </w:r>
            <w:r w:rsidRPr="00DF78B3">
              <w:rPr>
                <w:sz w:val="18"/>
                <w:szCs w:val="18"/>
                <w:lang w:val="en-US"/>
              </w:rPr>
              <w:t xml:space="preserve"> is composed of securities, money market instruments and cash, the individual elements of which belong to </w:t>
            </w:r>
            <w:r>
              <w:rPr>
                <w:sz w:val="18"/>
                <w:szCs w:val="18"/>
                <w:lang w:val="en-US"/>
              </w:rPr>
              <w:t>more than one unitholder,</w:t>
            </w:r>
            <w:r w:rsidRPr="00DF78B3">
              <w:rPr>
                <w:sz w:val="18"/>
                <w:szCs w:val="18"/>
                <w:lang w:val="en-US"/>
              </w:rPr>
              <w:t xml:space="preserve"> </w:t>
            </w:r>
            <w:r>
              <w:rPr>
                <w:sz w:val="18"/>
                <w:szCs w:val="18"/>
                <w:lang w:val="en-US"/>
              </w:rPr>
              <w:t>based on</w:t>
            </w:r>
            <w:r w:rsidRPr="00DF78B3">
              <w:rPr>
                <w:sz w:val="18"/>
                <w:szCs w:val="18"/>
                <w:lang w:val="en-US"/>
              </w:rPr>
              <w:t xml:space="preserve"> the number of units they own</w:t>
            </w:r>
            <w:r>
              <w:rPr>
                <w:sz w:val="18"/>
                <w:szCs w:val="18"/>
                <w:lang w:val="en-US"/>
              </w:rPr>
              <w:t xml:space="preserve">, </w:t>
            </w:r>
            <w:r w:rsidRPr="00DF78B3">
              <w:rPr>
                <w:sz w:val="18"/>
                <w:szCs w:val="18"/>
                <w:lang w:val="en-US"/>
              </w:rPr>
              <w:t>is managed by the Company</w:t>
            </w:r>
            <w:r>
              <w:rPr>
                <w:sz w:val="18"/>
                <w:szCs w:val="18"/>
                <w:lang w:val="en-US"/>
              </w:rPr>
              <w:t xml:space="preserve"> which represents the unitholders </w:t>
            </w:r>
            <w:r w:rsidRPr="008C5C53">
              <w:rPr>
                <w:rFonts w:cstheme="minorHAnsi"/>
                <w:sz w:val="18"/>
                <w:szCs w:val="18"/>
                <w:lang w:val="en-US"/>
              </w:rPr>
              <w:t xml:space="preserve">both </w:t>
            </w:r>
            <w:r w:rsidRPr="00ED439C">
              <w:rPr>
                <w:rFonts w:cstheme="minorHAnsi"/>
                <w:sz w:val="18"/>
                <w:szCs w:val="18"/>
                <w:lang w:val="en-US"/>
              </w:rPr>
              <w:t>judicially and extrajudicially</w:t>
            </w:r>
            <w:r>
              <w:rPr>
                <w:rFonts w:cstheme="minorHAnsi"/>
                <w:sz w:val="18"/>
                <w:szCs w:val="18"/>
                <w:lang w:val="en-US"/>
              </w:rPr>
              <w:t>,</w:t>
            </w:r>
            <w:r w:rsidRPr="008C5C53">
              <w:rPr>
                <w:rFonts w:cstheme="minorHAnsi"/>
                <w:sz w:val="18"/>
                <w:szCs w:val="18"/>
                <w:lang w:val="en-US"/>
              </w:rPr>
              <w:t xml:space="preserve"> for legal relationships arising from the management and their rights over its assets</w:t>
            </w:r>
            <w:r w:rsidRPr="00DF78B3">
              <w:rPr>
                <w:sz w:val="18"/>
                <w:szCs w:val="18"/>
                <w:lang w:val="en-US"/>
              </w:rPr>
              <w:t xml:space="preserve">. </w:t>
            </w:r>
            <w:bookmarkEnd w:id="0"/>
          </w:p>
          <w:p w14:paraId="1544FC56" w14:textId="77777777" w:rsidR="00CB01B3" w:rsidRPr="00CB01B3" w:rsidRDefault="00CB01B3" w:rsidP="000D5C30">
            <w:pPr>
              <w:jc w:val="both"/>
              <w:rPr>
                <w:sz w:val="10"/>
                <w:szCs w:val="10"/>
                <w:lang w:val="en-US"/>
              </w:rPr>
            </w:pPr>
          </w:p>
          <w:p w14:paraId="0BC05D06" w14:textId="77777777" w:rsidR="00CC69CA" w:rsidRPr="00AE7598" w:rsidRDefault="00CC69CA" w:rsidP="000D5C30">
            <w:pPr>
              <w:jc w:val="both"/>
              <w:rPr>
                <w:b/>
                <w:bCs/>
                <w:sz w:val="20"/>
                <w:szCs w:val="20"/>
                <w:lang w:val="en-US"/>
              </w:rPr>
            </w:pPr>
            <w:r w:rsidRPr="00AE7598">
              <w:rPr>
                <w:b/>
                <w:bCs/>
                <w:sz w:val="20"/>
                <w:szCs w:val="20"/>
                <w:lang w:val="en-US"/>
              </w:rPr>
              <w:t>Term</w:t>
            </w:r>
          </w:p>
          <w:p w14:paraId="728241E5" w14:textId="12913B4C" w:rsidR="000D5C30" w:rsidRPr="00A37416" w:rsidRDefault="008D2616" w:rsidP="000D5C30">
            <w:pPr>
              <w:jc w:val="both"/>
              <w:rPr>
                <w:sz w:val="18"/>
                <w:szCs w:val="18"/>
                <w:lang w:val="en-US"/>
              </w:rPr>
            </w:pPr>
            <w:r w:rsidRPr="00BD4086">
              <w:rPr>
                <w:sz w:val="18"/>
                <w:szCs w:val="18"/>
                <w:lang w:val="en-US"/>
              </w:rPr>
              <w:t>The Fund has an indefinite duration</w:t>
            </w:r>
            <w:r w:rsidR="00117399">
              <w:rPr>
                <w:lang w:val="en-US"/>
              </w:rPr>
              <w:t xml:space="preserve"> </w:t>
            </w:r>
            <w:r w:rsidR="00117399">
              <w:rPr>
                <w:sz w:val="18"/>
                <w:szCs w:val="18"/>
                <w:lang w:val="en-US"/>
              </w:rPr>
              <w:t xml:space="preserve">and is terminated in case any of the conditions referred to in article 9 par. 1 of Law 4099/2012 are met and in accordance with </w:t>
            </w:r>
            <w:r w:rsidR="00117399" w:rsidRPr="00A37416">
              <w:rPr>
                <w:sz w:val="18"/>
                <w:szCs w:val="18"/>
                <w:lang w:val="en-US"/>
              </w:rPr>
              <w:t>article 11 of the Fund’s Regulation.</w:t>
            </w:r>
          </w:p>
          <w:p w14:paraId="689C9418" w14:textId="77777777" w:rsidR="00CB01B3" w:rsidRPr="00A37416" w:rsidRDefault="00CB01B3" w:rsidP="000D5C30">
            <w:pPr>
              <w:jc w:val="both"/>
              <w:rPr>
                <w:sz w:val="10"/>
                <w:szCs w:val="10"/>
                <w:lang w:val="en-US"/>
              </w:rPr>
            </w:pPr>
          </w:p>
          <w:p w14:paraId="4432CBAF" w14:textId="77777777" w:rsidR="00CC69CA" w:rsidRPr="00A37416" w:rsidRDefault="00CC69CA" w:rsidP="000D5C30">
            <w:pPr>
              <w:jc w:val="both"/>
              <w:rPr>
                <w:b/>
                <w:bCs/>
                <w:sz w:val="20"/>
                <w:szCs w:val="20"/>
                <w:lang w:val="en-US"/>
              </w:rPr>
            </w:pPr>
            <w:r w:rsidRPr="00A37416">
              <w:rPr>
                <w:b/>
                <w:bCs/>
                <w:sz w:val="20"/>
                <w:szCs w:val="20"/>
                <w:lang w:val="en-US"/>
              </w:rPr>
              <w:t>Objectives</w:t>
            </w:r>
          </w:p>
          <w:p w14:paraId="44CCAD3E" w14:textId="13CC951C" w:rsidR="00347AC5" w:rsidRPr="00347AC5" w:rsidRDefault="00D62720" w:rsidP="00347AC5">
            <w:pPr>
              <w:jc w:val="both"/>
              <w:rPr>
                <w:sz w:val="18"/>
                <w:szCs w:val="18"/>
                <w:lang w:val="en-US"/>
              </w:rPr>
            </w:pPr>
            <w:r w:rsidRPr="00A37416">
              <w:rPr>
                <w:sz w:val="18"/>
                <w:szCs w:val="18"/>
                <w:lang w:val="en-US"/>
              </w:rPr>
              <w:t xml:space="preserve">The Fund's investment objective is to provide, to the Fund unitholders that have subscribed up to </w:t>
            </w:r>
            <w:r w:rsidR="00013804" w:rsidRPr="00426266">
              <w:rPr>
                <w:sz w:val="18"/>
                <w:szCs w:val="18"/>
                <w:lang w:val="en-US"/>
              </w:rPr>
              <w:t>13.02.2026</w:t>
            </w:r>
            <w:r w:rsidR="00013804" w:rsidRPr="00013804">
              <w:rPr>
                <w:sz w:val="18"/>
                <w:szCs w:val="18"/>
                <w:lang w:val="en-US"/>
              </w:rPr>
              <w:t xml:space="preserve"> </w:t>
            </w:r>
            <w:r w:rsidRPr="00A37416">
              <w:rPr>
                <w:sz w:val="18"/>
                <w:szCs w:val="18"/>
                <w:lang w:val="en-US"/>
              </w:rPr>
              <w:t xml:space="preserve">and retain their units up to </w:t>
            </w:r>
            <w:r w:rsidR="00420012" w:rsidRPr="008F7AC3">
              <w:rPr>
                <w:sz w:val="18"/>
                <w:szCs w:val="18"/>
                <w:lang w:val="en-US"/>
              </w:rPr>
              <w:t>13.02.2031</w:t>
            </w:r>
            <w:r w:rsidR="00347AC5" w:rsidRPr="00347AC5">
              <w:rPr>
                <w:sz w:val="18"/>
                <w:szCs w:val="18"/>
                <w:lang w:val="en-US"/>
              </w:rPr>
              <w:t xml:space="preserve"> </w:t>
            </w:r>
            <w:r w:rsidRPr="00A37416">
              <w:rPr>
                <w:sz w:val="18"/>
                <w:szCs w:val="18"/>
                <w:lang w:val="en-US"/>
              </w:rPr>
              <w:t>(hereafter “Investment Period”), a capital preservation while seeking to generate income and capital gains. In order to achieve its objective, the Fund will invest in a bond portfolio and/or OTC derivatives with bond exposure (hereafter "Bond-Linked Swap Contracts"), money market instruments, other securities and in one or more OTC derivative contracts with equity exposure (hereafter "Equity-Linked Swap Contracts").</w:t>
            </w:r>
            <w:r w:rsidR="00347AC5" w:rsidRPr="00347AC5">
              <w:rPr>
                <w:sz w:val="18"/>
                <w:szCs w:val="18"/>
                <w:lang w:val="en-US"/>
              </w:rPr>
              <w:t xml:space="preserve"> The Fund seeks to offer a predetermined total return, provided that, on any of the five annual anniversaries from the start date (e.g</w:t>
            </w:r>
            <w:r w:rsidR="00347AC5" w:rsidRPr="008F7AC3">
              <w:rPr>
                <w:sz w:val="18"/>
                <w:szCs w:val="18"/>
                <w:lang w:val="en-US"/>
              </w:rPr>
              <w:t xml:space="preserve">. </w:t>
            </w:r>
            <w:r w:rsidR="0048387E" w:rsidRPr="008F7AC3">
              <w:rPr>
                <w:sz w:val="18"/>
                <w:szCs w:val="18"/>
                <w:lang w:val="en-US"/>
              </w:rPr>
              <w:t>13.02.2027, 13.02.2028</w:t>
            </w:r>
            <w:r w:rsidR="00347AC5" w:rsidRPr="00347AC5">
              <w:rPr>
                <w:sz w:val="18"/>
                <w:szCs w:val="18"/>
                <w:lang w:val="en-US"/>
              </w:rPr>
              <w:t xml:space="preserve">, etc.), the return of the “EURO iSTOXX® 50 Futures Roll TR Decrement 5%” equity index (hereafter “Index”) in relation to the price of the Index on </w:t>
            </w:r>
            <w:r w:rsidR="00347AC5" w:rsidRPr="008309DD">
              <w:rPr>
                <w:sz w:val="18"/>
                <w:szCs w:val="18"/>
                <w:lang w:val="en-US"/>
              </w:rPr>
              <w:t>1</w:t>
            </w:r>
            <w:r w:rsidR="004F2E14" w:rsidRPr="008309DD">
              <w:rPr>
                <w:sz w:val="18"/>
                <w:szCs w:val="18"/>
                <w:lang w:val="en-US"/>
              </w:rPr>
              <w:t>3</w:t>
            </w:r>
            <w:r w:rsidR="00347AC5" w:rsidRPr="008309DD">
              <w:rPr>
                <w:sz w:val="18"/>
                <w:szCs w:val="18"/>
                <w:lang w:val="en-US"/>
              </w:rPr>
              <w:t>.0</w:t>
            </w:r>
            <w:r w:rsidR="004F2E14" w:rsidRPr="008309DD">
              <w:rPr>
                <w:sz w:val="18"/>
                <w:szCs w:val="18"/>
                <w:lang w:val="en-US"/>
              </w:rPr>
              <w:t>2</w:t>
            </w:r>
            <w:r w:rsidR="00347AC5" w:rsidRPr="008309DD">
              <w:rPr>
                <w:sz w:val="18"/>
                <w:szCs w:val="18"/>
                <w:lang w:val="en-US"/>
              </w:rPr>
              <w:t>.202</w:t>
            </w:r>
            <w:r w:rsidR="008309DD" w:rsidRPr="008309DD">
              <w:rPr>
                <w:sz w:val="18"/>
                <w:szCs w:val="18"/>
                <w:lang w:val="en-US"/>
              </w:rPr>
              <w:t>6</w:t>
            </w:r>
            <w:r w:rsidR="00347AC5" w:rsidRPr="00347AC5">
              <w:rPr>
                <w:sz w:val="18"/>
                <w:szCs w:val="18"/>
                <w:lang w:val="en-US"/>
              </w:rPr>
              <w:t xml:space="preserve"> is greater than or equal to a </w:t>
            </w:r>
            <w:r w:rsidR="00347AC5" w:rsidRPr="002A01AF">
              <w:rPr>
                <w:sz w:val="18"/>
                <w:szCs w:val="18"/>
                <w:lang w:val="en-US"/>
              </w:rPr>
              <w:t xml:space="preserve">percentage of </w:t>
            </w:r>
            <w:r w:rsidR="00AC4FBE" w:rsidRPr="0050739E">
              <w:rPr>
                <w:sz w:val="18"/>
                <w:szCs w:val="18"/>
                <w:lang w:val="en-US"/>
              </w:rPr>
              <w:t>7,</w:t>
            </w:r>
            <w:r w:rsidR="00347AC5" w:rsidRPr="0050739E">
              <w:rPr>
                <w:sz w:val="18"/>
                <w:szCs w:val="18"/>
                <w:lang w:val="en-US"/>
              </w:rPr>
              <w:t>5%</w:t>
            </w:r>
            <w:r w:rsidR="00347AC5" w:rsidRPr="002A01AF">
              <w:rPr>
                <w:sz w:val="18"/>
                <w:szCs w:val="18"/>
                <w:lang w:val="en-US"/>
              </w:rPr>
              <w:t xml:space="preserve"> (hereafter “Lock Limit”)</w:t>
            </w:r>
            <w:r w:rsidR="002A01AF" w:rsidRPr="002A01AF">
              <w:rPr>
                <w:sz w:val="18"/>
                <w:szCs w:val="18"/>
                <w:lang w:val="en-US"/>
              </w:rPr>
              <w:t>.</w:t>
            </w:r>
          </w:p>
          <w:p w14:paraId="1660CF2F" w14:textId="41DA093D" w:rsidR="00D62720" w:rsidRPr="008F7AC3" w:rsidRDefault="00D62720" w:rsidP="00347AC5">
            <w:pPr>
              <w:jc w:val="both"/>
              <w:rPr>
                <w:sz w:val="18"/>
                <w:szCs w:val="18"/>
                <w:lang w:val="en-US"/>
              </w:rPr>
            </w:pPr>
            <w:r w:rsidRPr="00A37416">
              <w:rPr>
                <w:sz w:val="18"/>
                <w:szCs w:val="18"/>
                <w:lang w:val="en-US"/>
              </w:rPr>
              <w:t xml:space="preserve">This objective is achieved through a strategy of combining investments in (a) a portfolio of bonds (directly or through "Bond-Linked Swap Contracts"), money market instruments and other securities denominated in Euro, </w:t>
            </w:r>
            <w:r w:rsidRPr="004436B0">
              <w:rPr>
                <w:sz w:val="18"/>
                <w:szCs w:val="18"/>
                <w:lang w:val="en-US"/>
              </w:rPr>
              <w:t xml:space="preserve">provided that there are no negative developments in the bond market such as a hypothetical credit event involving a default on the bonds, money market instruments and other securities in the portfolio. Through the "Bond-Linked Swap Contracts", the Fund may (i) hedge the risks associated with the reinvestment of bonds maturing before </w:t>
            </w:r>
            <w:r w:rsidR="001417FA" w:rsidRPr="004436B0">
              <w:rPr>
                <w:sz w:val="18"/>
                <w:szCs w:val="18"/>
                <w:lang w:val="en-US"/>
              </w:rPr>
              <w:t>1</w:t>
            </w:r>
            <w:r w:rsidR="00F36368" w:rsidRPr="004436B0">
              <w:rPr>
                <w:sz w:val="18"/>
                <w:szCs w:val="18"/>
                <w:lang w:val="en-US"/>
              </w:rPr>
              <w:t>3</w:t>
            </w:r>
            <w:r w:rsidR="001417FA" w:rsidRPr="004436B0">
              <w:rPr>
                <w:sz w:val="18"/>
                <w:szCs w:val="18"/>
                <w:lang w:val="en-US"/>
              </w:rPr>
              <w:t>.0</w:t>
            </w:r>
            <w:r w:rsidR="00F36368" w:rsidRPr="004436B0">
              <w:rPr>
                <w:sz w:val="18"/>
                <w:szCs w:val="18"/>
                <w:lang w:val="en-US"/>
              </w:rPr>
              <w:t>2</w:t>
            </w:r>
            <w:r w:rsidR="001417FA" w:rsidRPr="004436B0">
              <w:rPr>
                <w:sz w:val="18"/>
                <w:szCs w:val="18"/>
                <w:lang w:val="en-US"/>
              </w:rPr>
              <w:t>.203</w:t>
            </w:r>
            <w:r w:rsidR="00F36368" w:rsidRPr="004436B0">
              <w:rPr>
                <w:sz w:val="18"/>
                <w:szCs w:val="18"/>
                <w:lang w:val="en-US"/>
              </w:rPr>
              <w:t>1</w:t>
            </w:r>
            <w:r w:rsidRPr="004436B0">
              <w:rPr>
                <w:sz w:val="18"/>
                <w:szCs w:val="18"/>
                <w:lang w:val="en-US"/>
              </w:rPr>
              <w:t>, (ii) hedge other risks associated with its bond exposure (e.g. interest rate, credit, currency) and/or (iii) acquire indirect bond exposure to fulfill its investment objective.</w:t>
            </w:r>
            <w:r w:rsidRPr="008F7AC3">
              <w:rPr>
                <w:sz w:val="18"/>
                <w:szCs w:val="18"/>
                <w:lang w:val="en-US"/>
              </w:rPr>
              <w:t xml:space="preserve"> (b) "Equity-Linked Swap Contracts" with a </w:t>
            </w:r>
            <w:r w:rsidR="001417FA" w:rsidRPr="008F7AC3">
              <w:rPr>
                <w:sz w:val="18"/>
                <w:szCs w:val="18"/>
                <w:lang w:val="en-US"/>
              </w:rPr>
              <w:t xml:space="preserve">five </w:t>
            </w:r>
            <w:r w:rsidRPr="008F7AC3">
              <w:rPr>
                <w:sz w:val="18"/>
                <w:szCs w:val="18"/>
                <w:lang w:val="en-US"/>
              </w:rPr>
              <w:t>(</w:t>
            </w:r>
            <w:r w:rsidR="001417FA" w:rsidRPr="008F7AC3">
              <w:rPr>
                <w:sz w:val="18"/>
                <w:szCs w:val="18"/>
                <w:lang w:val="en-US"/>
              </w:rPr>
              <w:t>5</w:t>
            </w:r>
            <w:r w:rsidRPr="008F7AC3">
              <w:rPr>
                <w:sz w:val="18"/>
                <w:szCs w:val="18"/>
                <w:lang w:val="en-US"/>
              </w:rPr>
              <w:t xml:space="preserve">) year term, </w:t>
            </w:r>
            <w:r w:rsidR="001417FA" w:rsidRPr="008F7AC3">
              <w:rPr>
                <w:sz w:val="18"/>
                <w:szCs w:val="18"/>
                <w:lang w:val="en-US"/>
              </w:rPr>
              <w:t>with the aim of receiving payments in accordance with the following mechanism:</w:t>
            </w:r>
          </w:p>
          <w:p w14:paraId="332A6E1A" w14:textId="740B4D61" w:rsidR="001417FA" w:rsidRPr="008F7AC3" w:rsidRDefault="0024509C" w:rsidP="00C74AF6">
            <w:pPr>
              <w:pStyle w:val="ListParagraph"/>
              <w:numPr>
                <w:ilvl w:val="0"/>
                <w:numId w:val="20"/>
              </w:numPr>
              <w:jc w:val="both"/>
              <w:rPr>
                <w:sz w:val="18"/>
                <w:szCs w:val="18"/>
                <w:lang w:val="en-US"/>
              </w:rPr>
            </w:pPr>
            <w:r w:rsidRPr="008F7AC3">
              <w:rPr>
                <w:sz w:val="18"/>
                <w:szCs w:val="18"/>
                <w:lang w:val="en-US"/>
              </w:rPr>
              <w:t xml:space="preserve">if, </w:t>
            </w:r>
            <w:r w:rsidR="001417FA" w:rsidRPr="008F7AC3">
              <w:rPr>
                <w:sz w:val="18"/>
                <w:szCs w:val="18"/>
                <w:lang w:val="en-US"/>
              </w:rPr>
              <w:t>on the first anniversary (</w:t>
            </w:r>
            <w:r w:rsidR="00611AF9" w:rsidRPr="008F7AC3">
              <w:rPr>
                <w:sz w:val="18"/>
                <w:szCs w:val="18"/>
                <w:lang w:val="en-US"/>
              </w:rPr>
              <w:t>13.02.2027</w:t>
            </w:r>
            <w:r w:rsidR="001417FA" w:rsidRPr="008F7AC3">
              <w:rPr>
                <w:sz w:val="18"/>
                <w:szCs w:val="18"/>
                <w:lang w:val="en-US"/>
              </w:rPr>
              <w:t xml:space="preserve">) </w:t>
            </w:r>
            <w:r w:rsidRPr="008F7AC3">
              <w:rPr>
                <w:sz w:val="18"/>
                <w:szCs w:val="18"/>
                <w:lang w:val="en-US"/>
              </w:rPr>
              <w:t xml:space="preserve">the return of the Index </w:t>
            </w:r>
            <w:r w:rsidR="001417FA" w:rsidRPr="008F7AC3">
              <w:rPr>
                <w:sz w:val="18"/>
                <w:szCs w:val="18"/>
                <w:lang w:val="en-US"/>
              </w:rPr>
              <w:t xml:space="preserve">is greater than or equal to the </w:t>
            </w:r>
            <w:r w:rsidRPr="008F7AC3">
              <w:rPr>
                <w:sz w:val="18"/>
                <w:szCs w:val="18"/>
                <w:lang w:val="en-US"/>
              </w:rPr>
              <w:t>Lock Limit</w:t>
            </w:r>
            <w:r w:rsidR="001417FA" w:rsidRPr="008F7AC3">
              <w:rPr>
                <w:sz w:val="18"/>
                <w:szCs w:val="18"/>
                <w:lang w:val="en-US"/>
              </w:rPr>
              <w:t>, it will receive annual payments of 2.</w:t>
            </w:r>
            <w:r w:rsidR="00CC12A4" w:rsidRPr="008F7AC3">
              <w:rPr>
                <w:sz w:val="18"/>
                <w:szCs w:val="18"/>
                <w:lang w:val="en-US"/>
              </w:rPr>
              <w:t>5</w:t>
            </w:r>
            <w:r w:rsidR="001417FA" w:rsidRPr="008F7AC3">
              <w:rPr>
                <w:sz w:val="18"/>
                <w:szCs w:val="18"/>
                <w:lang w:val="en-US"/>
              </w:rPr>
              <w:t>0% for the next five (5) years, i.e. a total of 1</w:t>
            </w:r>
            <w:r w:rsidR="00CC12A4" w:rsidRPr="008F7AC3">
              <w:rPr>
                <w:sz w:val="18"/>
                <w:szCs w:val="18"/>
                <w:lang w:val="en-US"/>
              </w:rPr>
              <w:t>2</w:t>
            </w:r>
            <w:r w:rsidR="001417FA" w:rsidRPr="008F7AC3">
              <w:rPr>
                <w:sz w:val="18"/>
                <w:szCs w:val="18"/>
                <w:lang w:val="en-US"/>
              </w:rPr>
              <w:t>.</w:t>
            </w:r>
            <w:r w:rsidR="00CC12A4" w:rsidRPr="008F7AC3">
              <w:rPr>
                <w:sz w:val="18"/>
                <w:szCs w:val="18"/>
                <w:lang w:val="en-US"/>
              </w:rPr>
              <w:t>5</w:t>
            </w:r>
            <w:r w:rsidR="001417FA" w:rsidRPr="008F7AC3">
              <w:rPr>
                <w:sz w:val="18"/>
                <w:szCs w:val="18"/>
                <w:lang w:val="en-US"/>
              </w:rPr>
              <w:t>0%, and no subsequent scenario will be considered</w:t>
            </w:r>
            <w:r w:rsidRPr="008F7AC3">
              <w:rPr>
                <w:sz w:val="18"/>
                <w:szCs w:val="18"/>
                <w:lang w:val="en-US"/>
              </w:rPr>
              <w:t>,</w:t>
            </w:r>
            <w:r w:rsidR="001417FA" w:rsidRPr="008F7AC3">
              <w:rPr>
                <w:sz w:val="18"/>
                <w:szCs w:val="18"/>
                <w:lang w:val="en-US"/>
              </w:rPr>
              <w:t xml:space="preserve"> otherwise, </w:t>
            </w:r>
          </w:p>
          <w:p w14:paraId="7DCEBC79" w14:textId="2AB0157A" w:rsidR="001417FA" w:rsidRPr="008F7AC3" w:rsidRDefault="0024509C" w:rsidP="00C74AF6">
            <w:pPr>
              <w:pStyle w:val="ListParagraph"/>
              <w:numPr>
                <w:ilvl w:val="0"/>
                <w:numId w:val="20"/>
              </w:numPr>
              <w:jc w:val="both"/>
              <w:rPr>
                <w:sz w:val="18"/>
                <w:szCs w:val="18"/>
                <w:lang w:val="en-US"/>
              </w:rPr>
            </w:pPr>
            <w:r w:rsidRPr="008F7AC3">
              <w:rPr>
                <w:sz w:val="18"/>
                <w:szCs w:val="18"/>
                <w:lang w:val="en-US"/>
              </w:rPr>
              <w:t xml:space="preserve">if, </w:t>
            </w:r>
            <w:r w:rsidR="001417FA" w:rsidRPr="008F7AC3">
              <w:rPr>
                <w:sz w:val="18"/>
                <w:szCs w:val="18"/>
                <w:lang w:val="en-US"/>
              </w:rPr>
              <w:t>on the 2nd anniversary (</w:t>
            </w:r>
            <w:r w:rsidR="00FD3FC6" w:rsidRPr="008F7AC3">
              <w:rPr>
                <w:sz w:val="18"/>
                <w:szCs w:val="18"/>
                <w:lang w:val="en-US"/>
              </w:rPr>
              <w:t>13.02.2028</w:t>
            </w:r>
            <w:r w:rsidR="001417FA" w:rsidRPr="008F7AC3">
              <w:rPr>
                <w:sz w:val="18"/>
                <w:szCs w:val="18"/>
                <w:lang w:val="en-US"/>
              </w:rPr>
              <w:t xml:space="preserve">) </w:t>
            </w:r>
            <w:r w:rsidRPr="008F7AC3">
              <w:rPr>
                <w:sz w:val="18"/>
                <w:szCs w:val="18"/>
                <w:lang w:val="en-US"/>
              </w:rPr>
              <w:t xml:space="preserve">the return of the Index </w:t>
            </w:r>
            <w:r w:rsidR="001417FA" w:rsidRPr="008F7AC3">
              <w:rPr>
                <w:sz w:val="18"/>
                <w:szCs w:val="18"/>
                <w:lang w:val="en-US"/>
              </w:rPr>
              <w:t xml:space="preserve">is greater than or equal to the </w:t>
            </w:r>
            <w:r w:rsidRPr="008F7AC3">
              <w:rPr>
                <w:sz w:val="18"/>
                <w:szCs w:val="18"/>
                <w:lang w:val="en-US"/>
              </w:rPr>
              <w:t>Lock Limit</w:t>
            </w:r>
            <w:r w:rsidR="001417FA" w:rsidRPr="008F7AC3">
              <w:rPr>
                <w:sz w:val="18"/>
                <w:szCs w:val="18"/>
                <w:lang w:val="en-US"/>
              </w:rPr>
              <w:t>, it will receive annual payments of 3.</w:t>
            </w:r>
            <w:r w:rsidR="00161F57" w:rsidRPr="008F7AC3">
              <w:rPr>
                <w:sz w:val="18"/>
                <w:szCs w:val="18"/>
                <w:lang w:val="en-US"/>
              </w:rPr>
              <w:t>437</w:t>
            </w:r>
            <w:r w:rsidR="001417FA" w:rsidRPr="008F7AC3">
              <w:rPr>
                <w:sz w:val="18"/>
                <w:szCs w:val="18"/>
                <w:lang w:val="en-US"/>
              </w:rPr>
              <w:t>5% for four (4) years, i.e. a total of 1</w:t>
            </w:r>
            <w:r w:rsidR="00161F57" w:rsidRPr="008F7AC3">
              <w:rPr>
                <w:sz w:val="18"/>
                <w:szCs w:val="18"/>
                <w:lang w:val="en-US"/>
              </w:rPr>
              <w:t>3</w:t>
            </w:r>
            <w:r w:rsidR="001417FA" w:rsidRPr="008F7AC3">
              <w:rPr>
                <w:sz w:val="18"/>
                <w:szCs w:val="18"/>
                <w:lang w:val="en-US"/>
              </w:rPr>
              <w:t>.</w:t>
            </w:r>
            <w:r w:rsidR="00161F57" w:rsidRPr="008F7AC3">
              <w:rPr>
                <w:sz w:val="18"/>
                <w:szCs w:val="18"/>
                <w:lang w:val="en-US"/>
              </w:rPr>
              <w:t>7</w:t>
            </w:r>
            <w:r w:rsidR="001417FA" w:rsidRPr="008F7AC3">
              <w:rPr>
                <w:sz w:val="18"/>
                <w:szCs w:val="18"/>
                <w:lang w:val="en-US"/>
              </w:rPr>
              <w:t>5%, and no subsequent scenario is considered</w:t>
            </w:r>
            <w:r w:rsidRPr="008F7AC3">
              <w:rPr>
                <w:sz w:val="18"/>
                <w:szCs w:val="18"/>
                <w:lang w:val="en-US"/>
              </w:rPr>
              <w:t>,</w:t>
            </w:r>
            <w:r w:rsidR="001417FA" w:rsidRPr="008F7AC3">
              <w:rPr>
                <w:sz w:val="18"/>
                <w:szCs w:val="18"/>
                <w:lang w:val="en-US"/>
              </w:rPr>
              <w:t xml:space="preserve"> otherwise, </w:t>
            </w:r>
          </w:p>
          <w:p w14:paraId="7F2176C6" w14:textId="5B21BD73" w:rsidR="001417FA" w:rsidRPr="008F7AC3" w:rsidRDefault="0024509C" w:rsidP="00C74AF6">
            <w:pPr>
              <w:pStyle w:val="ListParagraph"/>
              <w:numPr>
                <w:ilvl w:val="0"/>
                <w:numId w:val="20"/>
              </w:numPr>
              <w:jc w:val="both"/>
              <w:rPr>
                <w:sz w:val="18"/>
                <w:szCs w:val="18"/>
                <w:lang w:val="en-US"/>
              </w:rPr>
            </w:pPr>
            <w:r w:rsidRPr="008F7AC3">
              <w:rPr>
                <w:sz w:val="18"/>
                <w:szCs w:val="18"/>
                <w:lang w:val="en-US"/>
              </w:rPr>
              <w:t>if,</w:t>
            </w:r>
            <w:r w:rsidR="001417FA" w:rsidRPr="008F7AC3">
              <w:rPr>
                <w:sz w:val="18"/>
                <w:szCs w:val="18"/>
                <w:lang w:val="en-US"/>
              </w:rPr>
              <w:t xml:space="preserve"> on the 3rd anniversary (</w:t>
            </w:r>
            <w:r w:rsidR="006118DD" w:rsidRPr="008F7AC3">
              <w:rPr>
                <w:sz w:val="18"/>
                <w:szCs w:val="18"/>
                <w:lang w:val="en-US"/>
              </w:rPr>
              <w:t>13.02.2029</w:t>
            </w:r>
            <w:r w:rsidR="001417FA" w:rsidRPr="008F7AC3">
              <w:rPr>
                <w:sz w:val="18"/>
                <w:szCs w:val="18"/>
                <w:lang w:val="en-US"/>
              </w:rPr>
              <w:t>)</w:t>
            </w:r>
            <w:r w:rsidRPr="008F7AC3">
              <w:rPr>
                <w:sz w:val="18"/>
                <w:szCs w:val="18"/>
                <w:lang w:val="en-US"/>
              </w:rPr>
              <w:t xml:space="preserve"> the return of the Index </w:t>
            </w:r>
            <w:r w:rsidR="001417FA" w:rsidRPr="008F7AC3">
              <w:rPr>
                <w:sz w:val="18"/>
                <w:szCs w:val="18"/>
                <w:lang w:val="en-US"/>
              </w:rPr>
              <w:t xml:space="preserve">is greater than or equal to the </w:t>
            </w:r>
            <w:r w:rsidRPr="008F7AC3">
              <w:rPr>
                <w:sz w:val="18"/>
                <w:szCs w:val="18"/>
                <w:lang w:val="en-US"/>
              </w:rPr>
              <w:t>Lock Limit</w:t>
            </w:r>
            <w:r w:rsidR="001417FA" w:rsidRPr="008F7AC3">
              <w:rPr>
                <w:sz w:val="18"/>
                <w:szCs w:val="18"/>
                <w:lang w:val="en-US"/>
              </w:rPr>
              <w:t>, it will receive annual payments of 5.00% for three (3) years, i.e. a total of 15.00%, and no subsequent scenario is considered</w:t>
            </w:r>
            <w:r w:rsidRPr="008F7AC3">
              <w:rPr>
                <w:sz w:val="18"/>
                <w:szCs w:val="18"/>
                <w:lang w:val="en-US"/>
              </w:rPr>
              <w:t>,</w:t>
            </w:r>
            <w:r w:rsidR="001417FA" w:rsidRPr="008F7AC3">
              <w:rPr>
                <w:sz w:val="18"/>
                <w:szCs w:val="18"/>
                <w:lang w:val="en-US"/>
              </w:rPr>
              <w:t xml:space="preserve"> otherwise, </w:t>
            </w:r>
          </w:p>
          <w:p w14:paraId="41D67DD8" w14:textId="6C9FFE90" w:rsidR="001417FA" w:rsidRPr="008F7AC3" w:rsidRDefault="0024509C" w:rsidP="00C74AF6">
            <w:pPr>
              <w:pStyle w:val="ListParagraph"/>
              <w:numPr>
                <w:ilvl w:val="0"/>
                <w:numId w:val="20"/>
              </w:numPr>
              <w:jc w:val="both"/>
              <w:rPr>
                <w:sz w:val="18"/>
                <w:szCs w:val="18"/>
                <w:lang w:val="en-US"/>
              </w:rPr>
            </w:pPr>
            <w:r w:rsidRPr="008F7AC3">
              <w:rPr>
                <w:sz w:val="18"/>
                <w:szCs w:val="18"/>
                <w:lang w:val="en-US"/>
              </w:rPr>
              <w:t>if,</w:t>
            </w:r>
            <w:r w:rsidR="001417FA" w:rsidRPr="008F7AC3">
              <w:rPr>
                <w:sz w:val="18"/>
                <w:szCs w:val="18"/>
                <w:lang w:val="en-US"/>
              </w:rPr>
              <w:t xml:space="preserve"> on the 4th annual anniversary (</w:t>
            </w:r>
            <w:r w:rsidR="003F34AC" w:rsidRPr="008F7AC3">
              <w:rPr>
                <w:sz w:val="18"/>
                <w:szCs w:val="18"/>
                <w:lang w:val="en-US"/>
              </w:rPr>
              <w:t>13.02.2030</w:t>
            </w:r>
            <w:r w:rsidR="001417FA" w:rsidRPr="008F7AC3">
              <w:rPr>
                <w:sz w:val="18"/>
                <w:szCs w:val="18"/>
                <w:lang w:val="en-US"/>
              </w:rPr>
              <w:t>)</w:t>
            </w:r>
            <w:r w:rsidRPr="008F7AC3">
              <w:rPr>
                <w:sz w:val="18"/>
                <w:szCs w:val="18"/>
                <w:lang w:val="en-US"/>
              </w:rPr>
              <w:t xml:space="preserve"> the return of the Index </w:t>
            </w:r>
            <w:r w:rsidR="001417FA" w:rsidRPr="008F7AC3">
              <w:rPr>
                <w:sz w:val="18"/>
                <w:szCs w:val="18"/>
                <w:lang w:val="en-US"/>
              </w:rPr>
              <w:t xml:space="preserve">is greater than or equal to the </w:t>
            </w:r>
            <w:r w:rsidRPr="008F7AC3">
              <w:rPr>
                <w:sz w:val="18"/>
                <w:szCs w:val="18"/>
                <w:lang w:val="en-US"/>
              </w:rPr>
              <w:t>Lock Limit</w:t>
            </w:r>
            <w:r w:rsidR="001417FA" w:rsidRPr="008F7AC3">
              <w:rPr>
                <w:sz w:val="18"/>
                <w:szCs w:val="18"/>
                <w:lang w:val="en-US"/>
              </w:rPr>
              <w:t xml:space="preserve">, </w:t>
            </w:r>
            <w:r w:rsidRPr="008F7AC3">
              <w:rPr>
                <w:sz w:val="18"/>
                <w:szCs w:val="18"/>
                <w:lang w:val="en-US"/>
              </w:rPr>
              <w:t>it</w:t>
            </w:r>
            <w:r w:rsidR="001417FA" w:rsidRPr="008F7AC3">
              <w:rPr>
                <w:sz w:val="18"/>
                <w:szCs w:val="18"/>
                <w:lang w:val="en-US"/>
              </w:rPr>
              <w:t xml:space="preserve"> will receive annual payments of 8.</w:t>
            </w:r>
            <w:r w:rsidR="003F34AC" w:rsidRPr="008F7AC3">
              <w:rPr>
                <w:sz w:val="18"/>
                <w:szCs w:val="18"/>
                <w:lang w:val="en-US"/>
              </w:rPr>
              <w:t>12</w:t>
            </w:r>
            <w:r w:rsidR="001417FA" w:rsidRPr="008F7AC3">
              <w:rPr>
                <w:sz w:val="18"/>
                <w:szCs w:val="18"/>
                <w:lang w:val="en-US"/>
              </w:rPr>
              <w:t>5% for two (2) years, i.e. a total of 1</w:t>
            </w:r>
            <w:r w:rsidR="00634159" w:rsidRPr="008F7AC3">
              <w:rPr>
                <w:sz w:val="18"/>
                <w:szCs w:val="18"/>
                <w:lang w:val="en-US"/>
              </w:rPr>
              <w:t>6</w:t>
            </w:r>
            <w:r w:rsidR="001417FA" w:rsidRPr="008F7AC3">
              <w:rPr>
                <w:sz w:val="18"/>
                <w:szCs w:val="18"/>
                <w:lang w:val="en-US"/>
              </w:rPr>
              <w:t>.</w:t>
            </w:r>
            <w:r w:rsidR="00634159" w:rsidRPr="008F7AC3">
              <w:rPr>
                <w:sz w:val="18"/>
                <w:szCs w:val="18"/>
                <w:lang w:val="en-US"/>
              </w:rPr>
              <w:t>2</w:t>
            </w:r>
            <w:r w:rsidR="001417FA" w:rsidRPr="008F7AC3">
              <w:rPr>
                <w:sz w:val="18"/>
                <w:szCs w:val="18"/>
                <w:lang w:val="en-US"/>
              </w:rPr>
              <w:t>5%, and no subsequent scenario will be considered</w:t>
            </w:r>
            <w:r w:rsidRPr="008F7AC3">
              <w:rPr>
                <w:sz w:val="18"/>
                <w:szCs w:val="18"/>
                <w:lang w:val="en-US"/>
              </w:rPr>
              <w:t>,</w:t>
            </w:r>
            <w:r w:rsidR="001417FA" w:rsidRPr="008F7AC3">
              <w:rPr>
                <w:sz w:val="18"/>
                <w:szCs w:val="18"/>
                <w:lang w:val="en-US"/>
              </w:rPr>
              <w:t xml:space="preserve"> otherwise, </w:t>
            </w:r>
          </w:p>
          <w:p w14:paraId="5CA6A14E" w14:textId="70886DDE" w:rsidR="001417FA" w:rsidRPr="008F7AC3" w:rsidRDefault="0024509C" w:rsidP="00C74AF6">
            <w:pPr>
              <w:pStyle w:val="ListParagraph"/>
              <w:numPr>
                <w:ilvl w:val="0"/>
                <w:numId w:val="20"/>
              </w:numPr>
              <w:jc w:val="both"/>
              <w:rPr>
                <w:sz w:val="18"/>
                <w:szCs w:val="18"/>
                <w:lang w:val="en-US"/>
              </w:rPr>
            </w:pPr>
            <w:r w:rsidRPr="008F7AC3">
              <w:rPr>
                <w:sz w:val="18"/>
                <w:szCs w:val="18"/>
                <w:lang w:val="en-US"/>
              </w:rPr>
              <w:t>if,</w:t>
            </w:r>
            <w:r w:rsidR="001417FA" w:rsidRPr="008F7AC3">
              <w:rPr>
                <w:sz w:val="18"/>
                <w:szCs w:val="18"/>
                <w:lang w:val="en-US"/>
              </w:rPr>
              <w:t xml:space="preserve"> on the 5th annual anniversary (</w:t>
            </w:r>
            <w:r w:rsidR="00195947" w:rsidRPr="008F7AC3">
              <w:rPr>
                <w:sz w:val="18"/>
                <w:szCs w:val="18"/>
                <w:lang w:val="en-US"/>
              </w:rPr>
              <w:t>13.02.2031</w:t>
            </w:r>
            <w:r w:rsidR="001417FA" w:rsidRPr="008F7AC3">
              <w:rPr>
                <w:sz w:val="18"/>
                <w:szCs w:val="18"/>
                <w:lang w:val="en-US"/>
              </w:rPr>
              <w:t>)</w:t>
            </w:r>
            <w:r w:rsidRPr="008F7AC3">
              <w:rPr>
                <w:sz w:val="18"/>
                <w:szCs w:val="18"/>
                <w:lang w:val="en-US"/>
              </w:rPr>
              <w:t xml:space="preserve"> the return of the Index </w:t>
            </w:r>
            <w:r w:rsidR="001417FA" w:rsidRPr="008F7AC3">
              <w:rPr>
                <w:sz w:val="18"/>
                <w:szCs w:val="18"/>
                <w:lang w:val="en-US"/>
              </w:rPr>
              <w:t xml:space="preserve">is greater than or equal to the </w:t>
            </w:r>
            <w:r w:rsidRPr="008F7AC3">
              <w:rPr>
                <w:sz w:val="18"/>
                <w:szCs w:val="18"/>
                <w:lang w:val="en-US"/>
              </w:rPr>
              <w:t>Lock Limit</w:t>
            </w:r>
            <w:r w:rsidR="001417FA" w:rsidRPr="008F7AC3">
              <w:rPr>
                <w:sz w:val="18"/>
                <w:szCs w:val="18"/>
                <w:lang w:val="en-US"/>
              </w:rPr>
              <w:t xml:space="preserve">, </w:t>
            </w:r>
            <w:r w:rsidRPr="008F7AC3">
              <w:rPr>
                <w:sz w:val="18"/>
                <w:szCs w:val="18"/>
                <w:lang w:val="en-US"/>
              </w:rPr>
              <w:t>it</w:t>
            </w:r>
            <w:r w:rsidR="001417FA" w:rsidRPr="008F7AC3">
              <w:rPr>
                <w:sz w:val="18"/>
                <w:szCs w:val="18"/>
                <w:lang w:val="en-US"/>
              </w:rPr>
              <w:t xml:space="preserve"> will receive an annual payment of </w:t>
            </w:r>
            <w:r w:rsidR="00195947" w:rsidRPr="008F7AC3">
              <w:rPr>
                <w:sz w:val="18"/>
                <w:szCs w:val="18"/>
                <w:lang w:val="en-US"/>
              </w:rPr>
              <w:t>17</w:t>
            </w:r>
            <w:r w:rsidR="001417FA" w:rsidRPr="008F7AC3">
              <w:rPr>
                <w:sz w:val="18"/>
                <w:szCs w:val="18"/>
                <w:lang w:val="en-US"/>
              </w:rPr>
              <w:t>.</w:t>
            </w:r>
            <w:r w:rsidR="00195947" w:rsidRPr="008F7AC3">
              <w:rPr>
                <w:sz w:val="18"/>
                <w:szCs w:val="18"/>
                <w:lang w:val="en-US"/>
              </w:rPr>
              <w:t>5</w:t>
            </w:r>
            <w:r w:rsidR="001417FA" w:rsidRPr="008F7AC3">
              <w:rPr>
                <w:sz w:val="18"/>
                <w:szCs w:val="18"/>
                <w:lang w:val="en-US"/>
              </w:rPr>
              <w:t xml:space="preserve">0% at the end of the Investment Period, otherwise, </w:t>
            </w:r>
          </w:p>
          <w:p w14:paraId="7F87255E" w14:textId="1A0AD926" w:rsidR="001417FA" w:rsidRPr="008F7AC3" w:rsidRDefault="001417FA" w:rsidP="00C74AF6">
            <w:pPr>
              <w:pStyle w:val="ListParagraph"/>
              <w:numPr>
                <w:ilvl w:val="0"/>
                <w:numId w:val="20"/>
              </w:numPr>
              <w:jc w:val="both"/>
              <w:rPr>
                <w:sz w:val="18"/>
                <w:szCs w:val="18"/>
                <w:lang w:val="en-US"/>
              </w:rPr>
            </w:pPr>
            <w:r w:rsidRPr="008F7AC3">
              <w:rPr>
                <w:sz w:val="18"/>
                <w:szCs w:val="18"/>
                <w:lang w:val="en-US"/>
              </w:rPr>
              <w:t>if, on the 5th annual anniversary (</w:t>
            </w:r>
            <w:r w:rsidR="00195947" w:rsidRPr="008F7AC3">
              <w:rPr>
                <w:sz w:val="18"/>
                <w:szCs w:val="18"/>
                <w:lang w:val="en-US"/>
              </w:rPr>
              <w:t>13.02.2031</w:t>
            </w:r>
            <w:r w:rsidRPr="008F7AC3">
              <w:rPr>
                <w:sz w:val="18"/>
                <w:szCs w:val="18"/>
                <w:lang w:val="en-US"/>
              </w:rPr>
              <w:t xml:space="preserve">), </w:t>
            </w:r>
            <w:r w:rsidR="0024509C" w:rsidRPr="008F7AC3">
              <w:rPr>
                <w:sz w:val="18"/>
                <w:szCs w:val="18"/>
                <w:lang w:val="en-US"/>
              </w:rPr>
              <w:t xml:space="preserve">the return of the Index </w:t>
            </w:r>
            <w:r w:rsidRPr="008F7AC3">
              <w:rPr>
                <w:sz w:val="18"/>
                <w:szCs w:val="18"/>
                <w:lang w:val="en-US"/>
              </w:rPr>
              <w:t xml:space="preserve">is less than the </w:t>
            </w:r>
            <w:r w:rsidR="0024509C" w:rsidRPr="008F7AC3">
              <w:rPr>
                <w:sz w:val="18"/>
                <w:szCs w:val="18"/>
                <w:lang w:val="en-US"/>
              </w:rPr>
              <w:t>Lock Limit</w:t>
            </w:r>
            <w:r w:rsidRPr="008F7AC3">
              <w:rPr>
                <w:sz w:val="18"/>
                <w:szCs w:val="18"/>
                <w:lang w:val="en-US"/>
              </w:rPr>
              <w:t xml:space="preserve">, </w:t>
            </w:r>
            <w:r w:rsidR="00C74AF6" w:rsidRPr="008F7AC3">
              <w:rPr>
                <w:sz w:val="18"/>
                <w:szCs w:val="18"/>
                <w:lang w:val="en-US"/>
              </w:rPr>
              <w:t>it</w:t>
            </w:r>
            <w:r w:rsidRPr="008F7AC3">
              <w:rPr>
                <w:sz w:val="18"/>
                <w:szCs w:val="18"/>
                <w:lang w:val="en-US"/>
              </w:rPr>
              <w:t xml:space="preserve"> will receive a return of 0.00%. </w:t>
            </w:r>
          </w:p>
          <w:p w14:paraId="2A1E61DB" w14:textId="37BF0713" w:rsidR="006538F1" w:rsidRPr="006538F1" w:rsidRDefault="00BC7521" w:rsidP="00821454">
            <w:pPr>
              <w:jc w:val="both"/>
              <w:rPr>
                <w:sz w:val="18"/>
                <w:szCs w:val="18"/>
                <w:lang w:val="en-US"/>
              </w:rPr>
            </w:pPr>
            <w:r w:rsidRPr="008F7AC3">
              <w:rPr>
                <w:sz w:val="18"/>
                <w:szCs w:val="18"/>
                <w:lang w:val="en-US"/>
              </w:rPr>
              <w:t>The</w:t>
            </w:r>
            <w:r w:rsidRPr="008F7AC3">
              <w:rPr>
                <w:lang w:val="en-US"/>
              </w:rPr>
              <w:t xml:space="preserve"> </w:t>
            </w:r>
            <w:r w:rsidRPr="008F7AC3">
              <w:rPr>
                <w:sz w:val="18"/>
                <w:szCs w:val="18"/>
                <w:lang w:val="en-US"/>
              </w:rPr>
              <w:t xml:space="preserve">return of the Index on each annual anniversary is calculated as (Index </w:t>
            </w:r>
            <w:r w:rsidR="006538F1" w:rsidRPr="008F7AC3">
              <w:rPr>
                <w:sz w:val="18"/>
                <w:szCs w:val="18"/>
                <w:lang w:val="en-US"/>
              </w:rPr>
              <w:t>Price</w:t>
            </w:r>
            <w:r w:rsidRPr="008F7AC3">
              <w:rPr>
                <w:sz w:val="18"/>
                <w:szCs w:val="18"/>
                <w:lang w:val="en-US"/>
              </w:rPr>
              <w:t xml:space="preserve"> on the annual anniversary / Index </w:t>
            </w:r>
            <w:r w:rsidR="006538F1" w:rsidRPr="008F7AC3">
              <w:rPr>
                <w:sz w:val="18"/>
                <w:szCs w:val="18"/>
                <w:lang w:val="en-US"/>
              </w:rPr>
              <w:t>Price</w:t>
            </w:r>
            <w:r w:rsidRPr="008F7AC3">
              <w:rPr>
                <w:sz w:val="18"/>
                <w:szCs w:val="18"/>
                <w:lang w:val="en-US"/>
              </w:rPr>
              <w:t xml:space="preserve"> on 1</w:t>
            </w:r>
            <w:r w:rsidR="0010740C" w:rsidRPr="008F7AC3">
              <w:rPr>
                <w:sz w:val="18"/>
                <w:szCs w:val="18"/>
                <w:lang w:val="en-US"/>
              </w:rPr>
              <w:t>3</w:t>
            </w:r>
            <w:r w:rsidRPr="008F7AC3">
              <w:rPr>
                <w:sz w:val="18"/>
                <w:szCs w:val="18"/>
                <w:lang w:val="en-US"/>
              </w:rPr>
              <w:t>.0</w:t>
            </w:r>
            <w:r w:rsidR="0010740C" w:rsidRPr="008F7AC3">
              <w:rPr>
                <w:sz w:val="18"/>
                <w:szCs w:val="18"/>
                <w:lang w:val="en-US"/>
              </w:rPr>
              <w:t>2</w:t>
            </w:r>
            <w:r w:rsidRPr="008F7AC3">
              <w:rPr>
                <w:sz w:val="18"/>
                <w:szCs w:val="18"/>
                <w:lang w:val="en-US"/>
              </w:rPr>
              <w:t>.202</w:t>
            </w:r>
            <w:r w:rsidR="0010740C" w:rsidRPr="008F7AC3">
              <w:rPr>
                <w:sz w:val="18"/>
                <w:szCs w:val="18"/>
                <w:lang w:val="en-US"/>
              </w:rPr>
              <w:t>6</w:t>
            </w:r>
            <w:r w:rsidRPr="008F7AC3">
              <w:rPr>
                <w:sz w:val="18"/>
                <w:szCs w:val="18"/>
                <w:lang w:val="en-US"/>
              </w:rPr>
              <w:t>) – 1.</w:t>
            </w:r>
            <w:r w:rsidR="00821454" w:rsidRPr="006538F1">
              <w:rPr>
                <w:sz w:val="18"/>
                <w:szCs w:val="18"/>
                <w:lang w:val="en-US"/>
              </w:rPr>
              <w:t xml:space="preserve"> </w:t>
            </w:r>
          </w:p>
          <w:p w14:paraId="46F16AB0" w14:textId="31EE778F" w:rsidR="00D62720" w:rsidRDefault="00D62720" w:rsidP="00821454">
            <w:pPr>
              <w:jc w:val="both"/>
              <w:rPr>
                <w:sz w:val="18"/>
                <w:szCs w:val="18"/>
                <w:lang w:val="en-US"/>
              </w:rPr>
            </w:pPr>
            <w:r w:rsidRPr="006538F1">
              <w:rPr>
                <w:sz w:val="18"/>
                <w:szCs w:val="18"/>
                <w:lang w:val="en-US"/>
              </w:rPr>
              <w:t xml:space="preserve">The total return of the Fund on </w:t>
            </w:r>
            <w:r w:rsidR="00195947" w:rsidRPr="00195947">
              <w:rPr>
                <w:sz w:val="18"/>
                <w:szCs w:val="18"/>
                <w:lang w:val="en-US"/>
              </w:rPr>
              <w:t>13.02.2031</w:t>
            </w:r>
            <w:r w:rsidR="006538F1" w:rsidRPr="006538F1">
              <w:rPr>
                <w:sz w:val="18"/>
                <w:szCs w:val="18"/>
                <w:lang w:val="en-US"/>
              </w:rPr>
              <w:t xml:space="preserve"> </w:t>
            </w:r>
            <w:r w:rsidRPr="006538F1">
              <w:rPr>
                <w:sz w:val="18"/>
                <w:szCs w:val="18"/>
                <w:lang w:val="en-US"/>
              </w:rPr>
              <w:t>depends on both the return of the portfolio of bonds, money market instruments and other securities and the return received through its participation in the "Equity</w:t>
            </w:r>
            <w:r w:rsidRPr="00A37416">
              <w:rPr>
                <w:sz w:val="18"/>
                <w:szCs w:val="18"/>
                <w:lang w:val="en-US"/>
              </w:rPr>
              <w:t xml:space="preserve">-Linked Swap Contracts". Therefore, the total return to the unitholder on </w:t>
            </w:r>
            <w:r w:rsidR="00195947" w:rsidRPr="00195947">
              <w:rPr>
                <w:sz w:val="18"/>
                <w:szCs w:val="18"/>
                <w:lang w:val="en-US"/>
              </w:rPr>
              <w:t>13.02.2031</w:t>
            </w:r>
            <w:r w:rsidR="006538F1" w:rsidRPr="006538F1">
              <w:rPr>
                <w:sz w:val="18"/>
                <w:szCs w:val="18"/>
                <w:lang w:val="en-US"/>
              </w:rPr>
              <w:t xml:space="preserve"> </w:t>
            </w:r>
            <w:r w:rsidRPr="00A37416">
              <w:rPr>
                <w:sz w:val="18"/>
                <w:szCs w:val="18"/>
                <w:lang w:val="en-US"/>
              </w:rPr>
              <w:t>may be higher or lower than the above targeted returns that the Fund will receive from the portfolio of bonds, money market instruments and other securities and from its participation in the "Equity-Linked Swap Contracts".</w:t>
            </w:r>
          </w:p>
          <w:p w14:paraId="7274B724" w14:textId="0DC6C6A7" w:rsidR="006538F1" w:rsidRPr="00A37416" w:rsidRDefault="006538F1" w:rsidP="00821454">
            <w:pPr>
              <w:jc w:val="both"/>
              <w:rPr>
                <w:sz w:val="18"/>
                <w:szCs w:val="18"/>
                <w:lang w:val="en-US"/>
              </w:rPr>
            </w:pPr>
            <w:r w:rsidRPr="006538F1">
              <w:rPr>
                <w:sz w:val="18"/>
                <w:szCs w:val="18"/>
                <w:lang w:val="en-US"/>
              </w:rPr>
              <w:t xml:space="preserve">The </w:t>
            </w:r>
            <w:r>
              <w:rPr>
                <w:sz w:val="18"/>
                <w:szCs w:val="18"/>
                <w:lang w:val="en-US"/>
              </w:rPr>
              <w:t>“</w:t>
            </w:r>
            <w:r w:rsidRPr="006538F1">
              <w:rPr>
                <w:sz w:val="18"/>
                <w:szCs w:val="18"/>
                <w:lang w:val="en-US"/>
              </w:rPr>
              <w:t>EURO iSTOXX® 50 Futures Roll TR Decrement 5%</w:t>
            </w:r>
            <w:r>
              <w:rPr>
                <w:sz w:val="18"/>
                <w:szCs w:val="18"/>
                <w:lang w:val="en-US"/>
              </w:rPr>
              <w:t>”</w:t>
            </w:r>
            <w:r w:rsidRPr="006538F1">
              <w:rPr>
                <w:sz w:val="18"/>
                <w:szCs w:val="18"/>
                <w:lang w:val="en-US"/>
              </w:rPr>
              <w:t xml:space="preserve"> Index aims to replicate, through the use of futures contracts, the performance of the EURO STOXX 50 Total Return European equity index, minus a fixed </w:t>
            </w:r>
            <w:r>
              <w:rPr>
                <w:sz w:val="18"/>
                <w:szCs w:val="18"/>
                <w:lang w:val="en-US"/>
              </w:rPr>
              <w:t>rat</w:t>
            </w:r>
            <w:r w:rsidRPr="006538F1">
              <w:rPr>
                <w:sz w:val="18"/>
                <w:szCs w:val="18"/>
                <w:lang w:val="en-US"/>
              </w:rPr>
              <w:t>e of 5% per annum (decrement).</w:t>
            </w:r>
          </w:p>
          <w:p w14:paraId="500A8ED3" w14:textId="77777777" w:rsidR="00D62720" w:rsidRPr="00A37416" w:rsidRDefault="00D62720" w:rsidP="00D62720">
            <w:pPr>
              <w:jc w:val="both"/>
              <w:rPr>
                <w:sz w:val="18"/>
                <w:szCs w:val="18"/>
                <w:lang w:val="en-US"/>
              </w:rPr>
            </w:pPr>
            <w:r w:rsidRPr="00F45977">
              <w:rPr>
                <w:sz w:val="18"/>
                <w:szCs w:val="18"/>
                <w:lang w:val="en-US"/>
              </w:rPr>
              <w:t>The Fund may use derivative financial instruments for the purpose of its investment objective and/or hedging risks. The use of derivatives may affect, positively or negatively, its performance.</w:t>
            </w:r>
          </w:p>
          <w:p w14:paraId="4016239F" w14:textId="77777777" w:rsidR="00D62720" w:rsidRPr="00A37416" w:rsidRDefault="00D62720" w:rsidP="00D62720">
            <w:pPr>
              <w:jc w:val="both"/>
              <w:rPr>
                <w:sz w:val="18"/>
                <w:szCs w:val="18"/>
                <w:lang w:val="en-US"/>
              </w:rPr>
            </w:pPr>
            <w:r w:rsidRPr="00A37416">
              <w:rPr>
                <w:sz w:val="18"/>
                <w:szCs w:val="18"/>
                <w:lang w:val="en-US"/>
              </w:rPr>
              <w:t xml:space="preserve">Income generated by the Fund may be reinvested. </w:t>
            </w:r>
          </w:p>
          <w:p w14:paraId="2C6164FA" w14:textId="77777777" w:rsidR="00D62720" w:rsidRPr="00A37416" w:rsidRDefault="00D62720" w:rsidP="00D62720">
            <w:pPr>
              <w:jc w:val="both"/>
              <w:rPr>
                <w:sz w:val="18"/>
                <w:szCs w:val="18"/>
                <w:lang w:val="en-US"/>
              </w:rPr>
            </w:pPr>
            <w:r w:rsidRPr="00A37416">
              <w:rPr>
                <w:sz w:val="18"/>
                <w:szCs w:val="18"/>
                <w:lang w:val="en-US"/>
              </w:rPr>
              <w:t xml:space="preserve">The reference currency of the Fund is EUR. </w:t>
            </w:r>
          </w:p>
          <w:p w14:paraId="25558343" w14:textId="2F6B98F9" w:rsidR="00D62720" w:rsidRPr="00A37416" w:rsidRDefault="00D62720" w:rsidP="00D62720">
            <w:pPr>
              <w:jc w:val="both"/>
              <w:rPr>
                <w:sz w:val="18"/>
                <w:szCs w:val="18"/>
                <w:lang w:val="en-US"/>
              </w:rPr>
            </w:pPr>
            <w:r w:rsidRPr="00A37416">
              <w:rPr>
                <w:sz w:val="18"/>
                <w:szCs w:val="18"/>
                <w:lang w:val="en-US"/>
              </w:rPr>
              <w:t xml:space="preserve">The Fund's performance is determined daily based on the valuation of all of its assets, both its portfolio of bonds, money market instruments and other securities, as well as its "Bond/Equity-Linked Swap Contracts". The counterparties with whom the "Bond/Equity-Linked Swap Contracts" have been concluded shall be obliged to value these contracts on a daily basis. The investor can subscribe or redeem units of the Fund, during business days and </w:t>
            </w:r>
            <w:r w:rsidRPr="00A37416">
              <w:rPr>
                <w:sz w:val="18"/>
                <w:szCs w:val="18"/>
                <w:lang w:val="en-US"/>
              </w:rPr>
              <w:lastRenderedPageBreak/>
              <w:t>hours in Greece according to the opening hours of Alpha Bank branches, unless there is a relevant decision of the Hellenic Capital Market Commission to suspend redemptions.</w:t>
            </w:r>
          </w:p>
          <w:p w14:paraId="242F4630" w14:textId="07946399" w:rsidR="00117399" w:rsidRDefault="008D2616" w:rsidP="00117399">
            <w:pPr>
              <w:jc w:val="both"/>
              <w:rPr>
                <w:sz w:val="18"/>
                <w:szCs w:val="18"/>
                <w:lang w:val="en-US"/>
              </w:rPr>
            </w:pPr>
            <w:r w:rsidRPr="00A37416">
              <w:rPr>
                <w:sz w:val="18"/>
                <w:szCs w:val="18"/>
                <w:lang w:val="en-US"/>
              </w:rPr>
              <w:t>The "</w:t>
            </w:r>
            <w:r w:rsidR="00557C06" w:rsidRPr="008F7AC3">
              <w:rPr>
                <w:sz w:val="18"/>
                <w:szCs w:val="18"/>
                <w:lang w:val="en-US"/>
              </w:rPr>
              <w:t>ALPHA PROSPERITY I</w:t>
            </w:r>
            <w:r w:rsidR="002A05CE" w:rsidRPr="008F7AC3">
              <w:rPr>
                <w:sz w:val="18"/>
                <w:szCs w:val="18"/>
                <w:lang w:val="en-US"/>
              </w:rPr>
              <w:t>V</w:t>
            </w:r>
            <w:r w:rsidR="00557C06" w:rsidRPr="008F7AC3">
              <w:rPr>
                <w:sz w:val="18"/>
                <w:szCs w:val="18"/>
                <w:lang w:val="en-US"/>
              </w:rPr>
              <w:t xml:space="preserve"> STEP-UP </w:t>
            </w:r>
            <w:r w:rsidRPr="008F7AC3">
              <w:rPr>
                <w:sz w:val="18"/>
                <w:szCs w:val="18"/>
                <w:lang w:val="en-US"/>
              </w:rPr>
              <w:t>STRUCTURED FUND"</w:t>
            </w:r>
            <w:r w:rsidR="004F2833" w:rsidRPr="008F7AC3">
              <w:rPr>
                <w:sz w:val="18"/>
                <w:szCs w:val="18"/>
                <w:lang w:val="en-US"/>
              </w:rPr>
              <w:t xml:space="preserve"> </w:t>
            </w:r>
            <w:r w:rsidRPr="008F7AC3">
              <w:rPr>
                <w:sz w:val="18"/>
                <w:szCs w:val="18"/>
                <w:lang w:val="en-US"/>
              </w:rPr>
              <w:t>is exposed</w:t>
            </w:r>
            <w:r w:rsidRPr="00A37416">
              <w:rPr>
                <w:sz w:val="18"/>
                <w:szCs w:val="18"/>
                <w:lang w:val="en-US"/>
              </w:rPr>
              <w:t xml:space="preserve"> to market risk arising from fluctuations in the portfolio’s market value, attributed to market movements. The Fund is exposed to credit risk</w:t>
            </w:r>
            <w:r w:rsidRPr="00117399">
              <w:rPr>
                <w:sz w:val="18"/>
                <w:szCs w:val="18"/>
                <w:lang w:val="en-US"/>
              </w:rPr>
              <w:t xml:space="preserve"> </w:t>
            </w:r>
            <w:r w:rsidR="00117399" w:rsidRPr="00117399">
              <w:rPr>
                <w:sz w:val="18"/>
                <w:szCs w:val="18"/>
                <w:lang w:val="en-US"/>
              </w:rPr>
              <w:t>arising from</w:t>
            </w:r>
            <w:r w:rsidR="00117399">
              <w:rPr>
                <w:sz w:val="18"/>
                <w:szCs w:val="18"/>
                <w:lang w:val="en-US"/>
              </w:rPr>
              <w:t xml:space="preserve"> the possibility that the obligor might be unable to meet its obligations to a UCITS.</w:t>
            </w:r>
            <w:r w:rsidR="00FA5D82" w:rsidRPr="00FA5D82">
              <w:rPr>
                <w:sz w:val="18"/>
                <w:szCs w:val="18"/>
                <w:lang w:val="en-US"/>
              </w:rPr>
              <w:t xml:space="preserve"> </w:t>
            </w:r>
            <w:r w:rsidR="00117399">
              <w:rPr>
                <w:sz w:val="18"/>
                <w:szCs w:val="18"/>
                <w:lang w:val="en-US"/>
              </w:rPr>
              <w:t xml:space="preserve">The Fund is also exposed to liquidity risk, </w:t>
            </w:r>
            <w:r w:rsidR="00AF6AA6" w:rsidRPr="00AF6AA6">
              <w:rPr>
                <w:sz w:val="18"/>
                <w:szCs w:val="18"/>
                <w:lang w:val="en-US"/>
              </w:rPr>
              <w:t xml:space="preserve">the risk that certain assets of the Fund cannot be liquidated at the desired time or at a limited cost, in order for the Fund to comply at all times with its redemption obligations. </w:t>
            </w:r>
            <w:r w:rsidR="00117399">
              <w:rPr>
                <w:sz w:val="18"/>
                <w:szCs w:val="18"/>
                <w:lang w:val="en-US"/>
              </w:rPr>
              <w:t>In more detail, the risks associated with the Fund are presented in the next section “What are the risks and what could I get in return?”</w:t>
            </w:r>
            <w:r w:rsidR="007146C2">
              <w:rPr>
                <w:sz w:val="18"/>
                <w:szCs w:val="18"/>
                <w:lang w:val="en-US"/>
              </w:rPr>
              <w:t>.</w:t>
            </w:r>
          </w:p>
          <w:p w14:paraId="2901FDD1" w14:textId="44A477EE" w:rsidR="00797975" w:rsidRPr="00797975" w:rsidRDefault="00797975" w:rsidP="000D5C30">
            <w:pPr>
              <w:jc w:val="both"/>
              <w:rPr>
                <w:sz w:val="18"/>
                <w:szCs w:val="18"/>
                <w:lang w:val="en-US"/>
              </w:rPr>
            </w:pPr>
          </w:p>
          <w:p w14:paraId="18D1519E" w14:textId="22DADC2E" w:rsidR="00D56F6A" w:rsidRPr="00AE7598" w:rsidRDefault="00D56F6A" w:rsidP="000D5C30">
            <w:pPr>
              <w:jc w:val="both"/>
              <w:rPr>
                <w:b/>
                <w:bCs/>
                <w:sz w:val="20"/>
                <w:szCs w:val="20"/>
                <w:lang w:val="en-US"/>
              </w:rPr>
            </w:pPr>
            <w:r w:rsidRPr="00AE7598">
              <w:rPr>
                <w:b/>
                <w:bCs/>
                <w:sz w:val="20"/>
                <w:szCs w:val="20"/>
                <w:lang w:val="en-US"/>
              </w:rPr>
              <w:t xml:space="preserve">Intended </w:t>
            </w:r>
            <w:r w:rsidR="001978E9">
              <w:rPr>
                <w:b/>
                <w:bCs/>
                <w:sz w:val="20"/>
                <w:szCs w:val="20"/>
                <w:lang w:val="en-US"/>
              </w:rPr>
              <w:t xml:space="preserve">retail </w:t>
            </w:r>
            <w:r w:rsidRPr="00AE7598">
              <w:rPr>
                <w:b/>
                <w:bCs/>
                <w:sz w:val="20"/>
                <w:szCs w:val="20"/>
                <w:lang w:val="en-US"/>
              </w:rPr>
              <w:t>investor</w:t>
            </w:r>
          </w:p>
          <w:p w14:paraId="2FD7D4CD" w14:textId="4F608D73" w:rsidR="008D2616" w:rsidRPr="008A5BCE" w:rsidRDefault="008D2616" w:rsidP="008D2616">
            <w:pPr>
              <w:jc w:val="both"/>
              <w:rPr>
                <w:sz w:val="18"/>
                <w:szCs w:val="18"/>
                <w:lang w:val="en-US"/>
              </w:rPr>
            </w:pPr>
            <w:r w:rsidRPr="005F3E8F">
              <w:rPr>
                <w:sz w:val="18"/>
                <w:szCs w:val="18"/>
                <w:lang w:val="en-US"/>
              </w:rPr>
              <w:t xml:space="preserve">To investors with a </w:t>
            </w:r>
            <w:r w:rsidR="00F54B9C" w:rsidRPr="005F3E8F">
              <w:rPr>
                <w:sz w:val="18"/>
                <w:szCs w:val="18"/>
                <w:lang w:val="en-US"/>
              </w:rPr>
              <w:t>medium</w:t>
            </w:r>
            <w:r w:rsidRPr="005F3E8F">
              <w:rPr>
                <w:sz w:val="18"/>
                <w:szCs w:val="18"/>
                <w:lang w:val="en-US"/>
              </w:rPr>
              <w:t xml:space="preserve">-term investment horizon, </w:t>
            </w:r>
            <w:r w:rsidR="00480796" w:rsidRPr="005F3E8F">
              <w:rPr>
                <w:sz w:val="18"/>
                <w:szCs w:val="18"/>
                <w:lang w:val="en-US"/>
              </w:rPr>
              <w:t>five</w:t>
            </w:r>
            <w:r w:rsidRPr="005F3E8F">
              <w:rPr>
                <w:sz w:val="18"/>
                <w:szCs w:val="18"/>
                <w:lang w:val="en-US"/>
              </w:rPr>
              <w:t xml:space="preserve"> years minimum (recommended holding period) and a conservative investment profile</w:t>
            </w:r>
            <w:r w:rsidR="00480796" w:rsidRPr="005F3E8F">
              <w:rPr>
                <w:sz w:val="18"/>
                <w:szCs w:val="18"/>
                <w:lang w:val="en-US"/>
              </w:rPr>
              <w:t xml:space="preserve"> who wish to achieve regular income and/or capital appreciation through participation in a predetermined investment strategy, while seeking protection of the invested capital if the return is not activated.</w:t>
            </w:r>
            <w:r w:rsidR="00480796">
              <w:rPr>
                <w:lang w:val="en-US"/>
              </w:rPr>
              <w:t xml:space="preserve"> </w:t>
            </w:r>
          </w:p>
          <w:p w14:paraId="17F27342" w14:textId="77777777" w:rsidR="000D5C30" w:rsidRDefault="000D5C30" w:rsidP="000D5C30">
            <w:pPr>
              <w:jc w:val="both"/>
              <w:rPr>
                <w:sz w:val="18"/>
                <w:szCs w:val="18"/>
                <w:lang w:val="en-US"/>
              </w:rPr>
            </w:pPr>
          </w:p>
          <w:p w14:paraId="48419E91" w14:textId="337608EE" w:rsidR="00E4349B" w:rsidRPr="00AE7598" w:rsidRDefault="00E4349B" w:rsidP="000D5C30">
            <w:pPr>
              <w:jc w:val="both"/>
              <w:rPr>
                <w:b/>
                <w:bCs/>
                <w:sz w:val="20"/>
                <w:szCs w:val="20"/>
                <w:lang w:val="en-US"/>
              </w:rPr>
            </w:pPr>
            <w:r w:rsidRPr="00AE7598">
              <w:rPr>
                <w:b/>
                <w:bCs/>
                <w:sz w:val="20"/>
                <w:szCs w:val="20"/>
                <w:lang w:val="en-US"/>
              </w:rPr>
              <w:t>Other relevant information</w:t>
            </w:r>
          </w:p>
          <w:p w14:paraId="1DC8B80F" w14:textId="77777777" w:rsidR="000D5C30" w:rsidRPr="00AE7598" w:rsidRDefault="000D5C30" w:rsidP="000D5C30">
            <w:pPr>
              <w:pStyle w:val="ListParagraph"/>
              <w:numPr>
                <w:ilvl w:val="0"/>
                <w:numId w:val="13"/>
              </w:numPr>
              <w:jc w:val="both"/>
              <w:rPr>
                <w:sz w:val="18"/>
                <w:szCs w:val="18"/>
                <w:lang w:val="en-US"/>
              </w:rPr>
            </w:pPr>
            <w:r w:rsidRPr="00AE7598">
              <w:rPr>
                <w:sz w:val="18"/>
                <w:szCs w:val="18"/>
                <w:lang w:val="en-US"/>
              </w:rPr>
              <w:t xml:space="preserve">Depositary: </w:t>
            </w:r>
            <w:r w:rsidRPr="00CE51B3">
              <w:rPr>
                <w:sz w:val="18"/>
                <w:szCs w:val="18"/>
                <w:lang w:val="en-US"/>
              </w:rPr>
              <w:t xml:space="preserve"> Alpha Bank </w:t>
            </w:r>
            <w:r>
              <w:rPr>
                <w:sz w:val="18"/>
                <w:szCs w:val="18"/>
                <w:lang w:val="en-US"/>
              </w:rPr>
              <w:t>S.A.</w:t>
            </w:r>
          </w:p>
          <w:p w14:paraId="3849E659" w14:textId="4F522454" w:rsidR="000D5C30" w:rsidRPr="00AE7598" w:rsidRDefault="000D5C30" w:rsidP="000D5C30">
            <w:pPr>
              <w:pStyle w:val="ListParagraph"/>
              <w:numPr>
                <w:ilvl w:val="0"/>
                <w:numId w:val="13"/>
              </w:numPr>
              <w:jc w:val="both"/>
              <w:rPr>
                <w:sz w:val="18"/>
                <w:szCs w:val="18"/>
                <w:lang w:val="en-US"/>
              </w:rPr>
            </w:pPr>
            <w:r w:rsidRPr="00AE7598">
              <w:rPr>
                <w:sz w:val="18"/>
                <w:szCs w:val="18"/>
                <w:lang w:val="en-US"/>
              </w:rPr>
              <w:t xml:space="preserve">Further information about the Prospectus, the latest annual / semi-annual reports in Greek can be obtained free of charge from our website </w:t>
            </w:r>
            <w:hyperlink r:id="rId13" w:history="1">
              <w:r w:rsidRPr="00AE7598">
                <w:rPr>
                  <w:rStyle w:val="Hyperlink"/>
                  <w:sz w:val="18"/>
                  <w:szCs w:val="18"/>
                  <w:lang w:val="en-US"/>
                </w:rPr>
                <w:t>www.alphamutual.gr</w:t>
              </w:r>
            </w:hyperlink>
            <w:r w:rsidRPr="00AE7598">
              <w:rPr>
                <w:sz w:val="18"/>
                <w:szCs w:val="18"/>
                <w:lang w:val="en-US"/>
              </w:rPr>
              <w:t xml:space="preserve"> or via Alpha Bank stores.</w:t>
            </w:r>
          </w:p>
          <w:p w14:paraId="46FC862C" w14:textId="77777777" w:rsidR="000D5C30" w:rsidRPr="000D5C30" w:rsidRDefault="000D5C30" w:rsidP="000D5C30">
            <w:pPr>
              <w:pStyle w:val="ListParagraph"/>
              <w:numPr>
                <w:ilvl w:val="0"/>
                <w:numId w:val="13"/>
              </w:numPr>
              <w:jc w:val="both"/>
              <w:rPr>
                <w:sz w:val="17"/>
                <w:szCs w:val="17"/>
                <w:lang w:val="en-US"/>
              </w:rPr>
            </w:pPr>
            <w:r w:rsidRPr="00AE7598">
              <w:rPr>
                <w:sz w:val="18"/>
                <w:szCs w:val="18"/>
                <w:lang w:val="en-US"/>
              </w:rPr>
              <w:t xml:space="preserve">Further practical information for the Fund along with the latest unit prices are available at </w:t>
            </w:r>
            <w:hyperlink r:id="rId14" w:history="1">
              <w:r w:rsidRPr="00AE7598">
                <w:rPr>
                  <w:rStyle w:val="Hyperlink"/>
                  <w:sz w:val="18"/>
                  <w:szCs w:val="18"/>
                  <w:lang w:val="en-US"/>
                </w:rPr>
                <w:t>www.alphamutual.gr</w:t>
              </w:r>
            </w:hyperlink>
            <w:r w:rsidRPr="00AE7598">
              <w:rPr>
                <w:sz w:val="18"/>
                <w:szCs w:val="18"/>
                <w:lang w:val="en-US"/>
              </w:rPr>
              <w:t>.</w:t>
            </w:r>
          </w:p>
          <w:p w14:paraId="3337D393" w14:textId="62E50A20" w:rsidR="000D5C30" w:rsidRPr="000D5C30" w:rsidRDefault="000D5C30" w:rsidP="000D5C30">
            <w:pPr>
              <w:jc w:val="both"/>
              <w:rPr>
                <w:sz w:val="17"/>
                <w:szCs w:val="17"/>
                <w:lang w:val="en-US"/>
              </w:rPr>
            </w:pPr>
          </w:p>
        </w:tc>
      </w:tr>
      <w:tr w:rsidR="006277CC" w:rsidRPr="001F3C78" w14:paraId="44F7DC21" w14:textId="77777777" w:rsidTr="00BC0905">
        <w:trPr>
          <w:trHeight w:val="426"/>
        </w:trPr>
        <w:tc>
          <w:tcPr>
            <w:tcW w:w="11341" w:type="dxa"/>
            <w:gridSpan w:val="4"/>
            <w:tcBorders>
              <w:top w:val="nil"/>
              <w:left w:val="nil"/>
              <w:bottom w:val="nil"/>
              <w:right w:val="nil"/>
            </w:tcBorders>
          </w:tcPr>
          <w:p w14:paraId="1AE0C94C" w14:textId="77777777" w:rsidR="00AA4119" w:rsidRDefault="00D56F6A" w:rsidP="000D5C30">
            <w:pPr>
              <w:rPr>
                <w:color w:val="1F497D"/>
                <w:lang w:val="en-US"/>
              </w:rPr>
            </w:pPr>
            <w:r>
              <w:rPr>
                <w:b/>
                <w:bCs/>
                <w:color w:val="1F497D"/>
                <w:lang w:val="en-US"/>
              </w:rPr>
              <w:lastRenderedPageBreak/>
              <w:t>What are the risks and what could I get in return?</w:t>
            </w:r>
            <w:r w:rsidRPr="0058725C">
              <w:rPr>
                <w:color w:val="1F497D"/>
                <w:lang w:val="en-US"/>
              </w:rPr>
              <w:t xml:space="preserve">  </w:t>
            </w:r>
          </w:p>
          <w:p w14:paraId="4CF097AE" w14:textId="34E6F20E" w:rsidR="00CC0393" w:rsidRPr="00D56F6A" w:rsidRDefault="00CC0393" w:rsidP="000D5C30">
            <w:pPr>
              <w:spacing w:line="120" w:lineRule="auto"/>
              <w:rPr>
                <w:color w:val="4472C4" w:themeColor="accent1"/>
                <w:lang w:val="en-US"/>
              </w:rPr>
            </w:pPr>
          </w:p>
        </w:tc>
      </w:tr>
      <w:tr w:rsidR="00124014" w:rsidRPr="001F3C78" w14:paraId="2DA1C1BC" w14:textId="77777777" w:rsidTr="008D2616">
        <w:trPr>
          <w:trHeight w:val="851"/>
        </w:trPr>
        <w:tc>
          <w:tcPr>
            <w:tcW w:w="11341" w:type="dxa"/>
            <w:gridSpan w:val="4"/>
            <w:tcBorders>
              <w:top w:val="nil"/>
              <w:left w:val="nil"/>
              <w:bottom w:val="nil"/>
              <w:right w:val="nil"/>
            </w:tcBorders>
            <w:shd w:val="clear" w:color="auto" w:fill="1F497D"/>
          </w:tcPr>
          <w:p w14:paraId="201081D1" w14:textId="7C2EC219" w:rsidR="00124014" w:rsidRPr="00D56F6A" w:rsidRDefault="004B4DE1" w:rsidP="000D5C30">
            <w:pPr>
              <w:rPr>
                <w:sz w:val="18"/>
                <w:szCs w:val="18"/>
                <w:lang w:val="en-US"/>
              </w:rPr>
            </w:pPr>
            <w:r w:rsidRPr="00117399">
              <w:rPr>
                <w:rFonts w:ascii="Times New Roman" w:eastAsia="Calibri" w:hAnsi="Times New Roman" w:cs="Times New Roman"/>
                <w:noProof/>
                <w:sz w:val="24"/>
                <w:szCs w:val="24"/>
                <w:lang w:eastAsia="el-GR"/>
              </w:rPr>
              <mc:AlternateContent>
                <mc:Choice Requires="wps">
                  <w:drawing>
                    <wp:anchor distT="0" distB="0" distL="114300" distR="114300" simplePos="0" relativeHeight="251667459" behindDoc="0" locked="0" layoutInCell="1" allowOverlap="1" wp14:anchorId="744AE3A9" wp14:editId="40B9EA04">
                      <wp:simplePos x="0" y="0"/>
                      <wp:positionH relativeFrom="column">
                        <wp:posOffset>2475479</wp:posOffset>
                      </wp:positionH>
                      <wp:positionV relativeFrom="paragraph">
                        <wp:posOffset>97100</wp:posOffset>
                      </wp:positionV>
                      <wp:extent cx="425450" cy="267970"/>
                      <wp:effectExtent l="0" t="0" r="12700" b="17780"/>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267970"/>
                              </a:xfrm>
                              <a:prstGeom prst="rect">
                                <a:avLst/>
                              </a:prstGeom>
                              <a:solidFill>
                                <a:srgbClr val="FFFF00"/>
                              </a:solidFill>
                              <a:ln w="19050">
                                <a:solidFill>
                                  <a:sysClr val="window" lastClr="FFFFFF">
                                    <a:lumMod val="100000"/>
                                    <a:lumOff val="0"/>
                                  </a:sysClr>
                                </a:solidFill>
                                <a:miter lim="800000"/>
                                <a:headEnd/>
                                <a:tailEnd/>
                              </a:ln>
                            </wps:spPr>
                            <wps:txbx>
                              <w:txbxContent>
                                <w:p w14:paraId="798BDFB0" w14:textId="15494D9D" w:rsidR="00117399" w:rsidRPr="00C322F1" w:rsidRDefault="004B4DE1" w:rsidP="00117399">
                                  <w:pPr>
                                    <w:jc w:val="center"/>
                                    <w:rPr>
                                      <w:b/>
                                      <w:szCs w:val="24"/>
                                      <w:lang w:val="en-US"/>
                                    </w:rPr>
                                  </w:pPr>
                                  <w:r w:rsidRPr="00C322F1">
                                    <w:rPr>
                                      <w:b/>
                                      <w:szCs w:val="24"/>
                                      <w:lang w:val="en-US"/>
                                    </w:rPr>
                                    <w:t>3</w:t>
                                  </w:r>
                                </w:p>
                                <w:p w14:paraId="06115DE6" w14:textId="77777777" w:rsidR="00117399" w:rsidRDefault="00117399" w:rsidP="00117399">
                                  <w:pPr>
                                    <w:jc w:val="center"/>
                                  </w:pP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4AE3A9" id="Rectangle 25" o:spid="_x0000_s1026" style="position:absolute;margin-left:194.9pt;margin-top:7.65pt;width:33.5pt;height:21.1pt;z-index:251667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" fillcolor="yellow" strokecolor="white" strokeweight="1.5pt">
                      <v:textbox>
                        <w:txbxContent>
                          <w:p w14:paraId="798BDFB0" w14:textId="15494D9D" w:rsidR="00117399" w:rsidRPr="00C322F1" w:rsidRDefault="004B4DE1" w:rsidP="00117399">
                            <w:pPr>
                              <w:jc w:val="center"/>
                              <w:rPr>
                                <w:b/>
                                <w:szCs w:val="24"/>
                                <w:lang w:val="en-US"/>
                              </w:rPr>
                            </w:pPr>
                            <w:r w:rsidRPr="00C322F1">
                              <w:rPr>
                                <w:b/>
                                <w:szCs w:val="24"/>
                                <w:lang w:val="en-US"/>
                              </w:rPr>
                              <w:t>3</w:t>
                            </w:r>
                          </w:p>
                          <w:p w14:paraId="06115DE6" w14:textId="77777777" w:rsidR="00117399" w:rsidRDefault="00117399" w:rsidP="00117399">
                            <w:pPr>
                              <w:jc w:val="center"/>
                            </w:pPr>
                          </w:p>
                        </w:txbxContent>
                      </v:textbox>
                    </v:rect>
                  </w:pict>
                </mc:Fallback>
              </mc:AlternateContent>
            </w:r>
            <w:r w:rsidR="00DC29B1" w:rsidRPr="00117399">
              <w:rPr>
                <w:rFonts w:ascii="Times New Roman" w:eastAsia="Calibri" w:hAnsi="Times New Roman" w:cs="Times New Roman"/>
                <w:noProof/>
                <w:sz w:val="24"/>
                <w:szCs w:val="24"/>
                <w:lang w:eastAsia="el-GR"/>
              </w:rPr>
              <mc:AlternateContent>
                <mc:Choice Requires="wps">
                  <w:drawing>
                    <wp:anchor distT="0" distB="0" distL="114300" distR="114300" simplePos="0" relativeHeight="251663363" behindDoc="0" locked="0" layoutInCell="1" allowOverlap="1" wp14:anchorId="3937CB15" wp14:editId="34BA0ECE">
                      <wp:simplePos x="0" y="0"/>
                      <wp:positionH relativeFrom="column">
                        <wp:posOffset>1838491</wp:posOffset>
                      </wp:positionH>
                      <wp:positionV relativeFrom="paragraph">
                        <wp:posOffset>97036</wp:posOffset>
                      </wp:positionV>
                      <wp:extent cx="425450" cy="267970"/>
                      <wp:effectExtent l="0" t="0" r="12700" b="17780"/>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267970"/>
                              </a:xfrm>
                              <a:prstGeom prst="rect">
                                <a:avLst/>
                              </a:prstGeom>
                              <a:noFill/>
                              <a:ln w="19050">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06086E3" w14:textId="05812D2D" w:rsidR="00117399" w:rsidRPr="00DC29B1" w:rsidRDefault="004B4DE1" w:rsidP="00117399">
                                  <w:pPr>
                                    <w:jc w:val="center"/>
                                    <w:rPr>
                                      <w:b/>
                                      <w:color w:val="FFFFFF" w:themeColor="background1"/>
                                      <w:szCs w:val="24"/>
                                      <w:lang w:val="en-US"/>
                                    </w:rPr>
                                  </w:pPr>
                                  <w:r>
                                    <w:rPr>
                                      <w:b/>
                                      <w:color w:val="FFFFFF" w:themeColor="background1"/>
                                      <w:szCs w:val="24"/>
                                      <w:lang w:val="en-US"/>
                                    </w:rPr>
                                    <w:t>2</w:t>
                                  </w:r>
                                </w:p>
                                <w:p w14:paraId="32236544" w14:textId="77777777" w:rsidR="00117399" w:rsidRDefault="00117399" w:rsidP="00117399">
                                  <w:pPr>
                                    <w:jc w:val="center"/>
                                  </w:pP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37CB15" id="Rectangle 24" o:spid="_x0000_s1027" style="position:absolute;margin-left:144.75pt;margin-top:7.65pt;width:33.5pt;height:21.1pt;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" filled="f" strokecolor="white" strokeweight="1.5pt">
                      <v:textbox>
                        <w:txbxContent>
                          <w:p w14:paraId="206086E3" w14:textId="05812D2D" w:rsidR="00117399" w:rsidRPr="00DC29B1" w:rsidRDefault="004B4DE1" w:rsidP="00117399">
                            <w:pPr>
                              <w:jc w:val="center"/>
                              <w:rPr>
                                <w:b/>
                                <w:color w:val="FFFFFF" w:themeColor="background1"/>
                                <w:szCs w:val="24"/>
                                <w:lang w:val="en-US"/>
                              </w:rPr>
                            </w:pPr>
                            <w:r>
                              <w:rPr>
                                <w:b/>
                                <w:color w:val="FFFFFF" w:themeColor="background1"/>
                                <w:szCs w:val="24"/>
                                <w:lang w:val="en-US"/>
                              </w:rPr>
                              <w:t>2</w:t>
                            </w:r>
                          </w:p>
                          <w:p w14:paraId="32236544" w14:textId="77777777" w:rsidR="00117399" w:rsidRDefault="00117399" w:rsidP="00117399">
                            <w:pPr>
                              <w:jc w:val="center"/>
                            </w:pPr>
                          </w:p>
                        </w:txbxContent>
                      </v:textbox>
                    </v:rect>
                  </w:pict>
                </mc:Fallback>
              </mc:AlternateContent>
            </w:r>
            <w:r w:rsidR="009E6C16" w:rsidRPr="00F44448">
              <w:rPr>
                <w:noProof/>
                <w:color w:val="FFFFFF" w:themeColor="background1"/>
                <w:sz w:val="18"/>
                <w:szCs w:val="18"/>
                <w:lang w:eastAsia="el-GR"/>
              </w:rPr>
              <mc:AlternateContent>
                <mc:Choice Requires="wps">
                  <w:drawing>
                    <wp:anchor distT="0" distB="0" distL="114300" distR="114300" simplePos="0" relativeHeight="251658242" behindDoc="0" locked="1" layoutInCell="1" allowOverlap="1" wp14:anchorId="441102AF" wp14:editId="02548A0C">
                      <wp:simplePos x="0" y="0"/>
                      <wp:positionH relativeFrom="column">
                        <wp:posOffset>3860800</wp:posOffset>
                      </wp:positionH>
                      <wp:positionV relativeFrom="paragraph">
                        <wp:posOffset>498475</wp:posOffset>
                      </wp:positionV>
                      <wp:extent cx="1760220" cy="24828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248285"/>
                              </a:xfrm>
                              <a:prstGeom prst="rect">
                                <a:avLst/>
                              </a:prstGeom>
                              <a:noFill/>
                              <a:ln w="9525">
                                <a:noFill/>
                                <a:miter lim="800000"/>
                                <a:headEnd/>
                                <a:tailEnd/>
                              </a:ln>
                            </wps:spPr>
                            <wps:txbx>
                              <w:txbxContent>
                                <w:p w14:paraId="1D0B109A" w14:textId="4E44F160" w:rsidR="009E6C16" w:rsidRPr="005B62F2" w:rsidRDefault="00D56F6A" w:rsidP="009E6C16">
                                  <w:pPr>
                                    <w:jc w:val="right"/>
                                    <w:rPr>
                                      <w:b/>
                                      <w:color w:val="FFFFFF" w:themeColor="background1"/>
                                      <w:sz w:val="18"/>
                                    </w:rPr>
                                  </w:pPr>
                                  <w:r>
                                    <w:rPr>
                                      <w:b/>
                                      <w:color w:val="FFFFFF" w:themeColor="background1"/>
                                      <w:sz w:val="18"/>
                                      <w:lang w:val="en-US"/>
                                    </w:rPr>
                                    <w:t>Higher Risk</w:t>
                                  </w:r>
                                  <w:r w:rsidR="009E6C16" w:rsidRPr="005B62F2">
                                    <w:rPr>
                                      <w:b/>
                                      <w:color w:val="FFFFFF" w:themeColor="background1"/>
                                      <w:sz w:val="18"/>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41102AF" id="_x0000_t202" coordsize="21600,21600" o:spt="202" path="m,l,21600r21600,l21600,xe">
                      <v:stroke joinstyle="miter"/>
                      <v:path gradientshapeok="t" o:connecttype="rect"/>
                    </v:shapetype>
                    <v:shape id="Text Box 2" o:spid="_x0000_s1028" type="#_x0000_t202" style="position:absolute;margin-left:304pt;margin-top:39.25pt;width:138.6pt;height:19.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" filled="f" stroked="f">
                      <v:textbox>
                        <w:txbxContent>
                          <w:p w14:paraId="1D0B109A" w14:textId="4E44F160" w:rsidR="009E6C16" w:rsidRPr="005B62F2" w:rsidRDefault="00D56F6A" w:rsidP="009E6C16">
                            <w:pPr>
                              <w:jc w:val="right"/>
                              <w:rPr>
                                <w:b/>
                                <w:color w:val="FFFFFF" w:themeColor="background1"/>
                                <w:sz w:val="18"/>
                              </w:rPr>
                            </w:pPr>
                            <w:r>
                              <w:rPr>
                                <w:b/>
                                <w:color w:val="FFFFFF" w:themeColor="background1"/>
                                <w:sz w:val="18"/>
                                <w:lang w:val="en-US"/>
                              </w:rPr>
                              <w:t>Higher Risk</w:t>
                            </w:r>
                            <w:r w:rsidR="009E6C16" w:rsidRPr="005B62F2">
                              <w:rPr>
                                <w:b/>
                                <w:color w:val="FFFFFF" w:themeColor="background1"/>
                                <w:sz w:val="18"/>
                              </w:rPr>
                              <w:t xml:space="preserve"> </w:t>
                            </w:r>
                          </w:p>
                        </w:txbxContent>
                      </v:textbox>
                      <w10:anchorlock/>
                    </v:shape>
                  </w:pict>
                </mc:Fallback>
              </mc:AlternateContent>
            </w:r>
            <w:r w:rsidR="009B39FD" w:rsidRPr="00F44448">
              <w:rPr>
                <w:noProof/>
                <w:color w:val="FFFFFF" w:themeColor="background1"/>
                <w:sz w:val="18"/>
                <w:szCs w:val="18"/>
                <w:lang w:eastAsia="el-GR"/>
              </w:rPr>
              <mc:AlternateContent>
                <mc:Choice Requires="wps">
                  <w:drawing>
                    <wp:anchor distT="0" distB="0" distL="114300" distR="114300" simplePos="0" relativeHeight="251658241" behindDoc="0" locked="1" layoutInCell="1" allowOverlap="1" wp14:anchorId="72D4E62F" wp14:editId="1771451B">
                      <wp:simplePos x="0" y="0"/>
                      <wp:positionH relativeFrom="column">
                        <wp:posOffset>1089660</wp:posOffset>
                      </wp:positionH>
                      <wp:positionV relativeFrom="paragraph">
                        <wp:posOffset>478790</wp:posOffset>
                      </wp:positionV>
                      <wp:extent cx="1752600" cy="23749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37490"/>
                              </a:xfrm>
                              <a:prstGeom prst="rect">
                                <a:avLst/>
                              </a:prstGeom>
                              <a:noFill/>
                              <a:ln w="9525">
                                <a:noFill/>
                                <a:miter lim="800000"/>
                                <a:headEnd/>
                                <a:tailEnd/>
                              </a:ln>
                            </wps:spPr>
                            <wps:txbx>
                              <w:txbxContent>
                                <w:p w14:paraId="2484D8F5" w14:textId="701D793F" w:rsidR="009B39FD" w:rsidRPr="005B62F2" w:rsidRDefault="00D56F6A" w:rsidP="009B39FD">
                                  <w:pPr>
                                    <w:rPr>
                                      <w:b/>
                                      <w:color w:val="FFFFFF" w:themeColor="background1"/>
                                      <w:sz w:val="18"/>
                                    </w:rPr>
                                  </w:pPr>
                                  <w:r>
                                    <w:rPr>
                                      <w:b/>
                                      <w:color w:val="FFFFFF" w:themeColor="background1"/>
                                      <w:sz w:val="18"/>
                                      <w:lang w:val="en-US"/>
                                    </w:rPr>
                                    <w:t>Lower Risk</w:t>
                                  </w:r>
                                  <w:r w:rsidR="009B39FD" w:rsidRPr="005B62F2">
                                    <w:rPr>
                                      <w:b/>
                                      <w:color w:val="FFFFFF" w:themeColor="background1"/>
                                      <w:sz w:val="18"/>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2D4E62F" id="_x0000_s1029" type="#_x0000_t202" style="position:absolute;margin-left:85.8pt;margin-top:37.7pt;width:138pt;height:1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" filled="f" stroked="f">
                      <v:textbox>
                        <w:txbxContent>
                          <w:p w14:paraId="2484D8F5" w14:textId="701D793F" w:rsidR="009B39FD" w:rsidRPr="005B62F2" w:rsidRDefault="00D56F6A" w:rsidP="009B39FD">
                            <w:pPr>
                              <w:rPr>
                                <w:b/>
                                <w:color w:val="FFFFFF" w:themeColor="background1"/>
                                <w:sz w:val="18"/>
                              </w:rPr>
                            </w:pPr>
                            <w:r>
                              <w:rPr>
                                <w:b/>
                                <w:color w:val="FFFFFF" w:themeColor="background1"/>
                                <w:sz w:val="18"/>
                                <w:lang w:val="en-US"/>
                              </w:rPr>
                              <w:t>Lower Risk</w:t>
                            </w:r>
                            <w:r w:rsidR="009B39FD" w:rsidRPr="005B62F2">
                              <w:rPr>
                                <w:b/>
                                <w:color w:val="FFFFFF" w:themeColor="background1"/>
                                <w:sz w:val="18"/>
                              </w:rPr>
                              <w:t xml:space="preserve"> </w:t>
                            </w:r>
                          </w:p>
                        </w:txbxContent>
                      </v:textbox>
                      <w10:anchorlock/>
                    </v:shape>
                  </w:pict>
                </mc:Fallback>
              </mc:AlternateContent>
            </w:r>
            <w:r w:rsidR="00DA674F" w:rsidRPr="00F44448">
              <w:rPr>
                <w:b/>
                <w:noProof/>
                <w:color w:val="5B9BD5" w:themeColor="accent5"/>
                <w:sz w:val="18"/>
                <w:szCs w:val="18"/>
                <w:lang w:eastAsia="el-GR"/>
              </w:rPr>
              <mc:AlternateContent>
                <mc:Choice Requires="wpg">
                  <w:drawing>
                    <wp:anchor distT="0" distB="0" distL="114300" distR="114300" simplePos="0" relativeHeight="251658240" behindDoc="0" locked="1" layoutInCell="1" allowOverlap="1" wp14:anchorId="5C4BF74A" wp14:editId="1F61A604">
                      <wp:simplePos x="0" y="0"/>
                      <wp:positionH relativeFrom="margin">
                        <wp:posOffset>1058545</wp:posOffset>
                      </wp:positionH>
                      <wp:positionV relativeFrom="paragraph">
                        <wp:posOffset>96520</wp:posOffset>
                      </wp:positionV>
                      <wp:extent cx="4542790" cy="370205"/>
                      <wp:effectExtent l="38100" t="0" r="67310" b="6794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2790" cy="370205"/>
                                <a:chOff x="0" y="0"/>
                                <a:chExt cx="57594" cy="3975"/>
                              </a:xfrm>
                            </wpg:grpSpPr>
                            <wps:wsp>
                              <wps:cNvPr id="6" name="Rectangle 23"/>
                              <wps:cNvSpPr>
                                <a:spLocks noChangeArrowheads="1"/>
                              </wps:cNvSpPr>
                              <wps:spPr bwMode="auto">
                                <a:xfrm>
                                  <a:off x="1669" y="0"/>
                                  <a:ext cx="5398" cy="2876"/>
                                </a:xfrm>
                                <a:prstGeom prst="rect">
                                  <a:avLst/>
                                </a:prstGeom>
                                <a:noFill/>
                                <a:ln w="19050">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863A686" w14:textId="77777777" w:rsidR="00DA674F" w:rsidRPr="003E4E40" w:rsidRDefault="00DA674F" w:rsidP="00DA674F">
                                    <w:pPr>
                                      <w:jc w:val="center"/>
                                      <w:rPr>
                                        <w:b/>
                                        <w:color w:val="FFFFFF" w:themeColor="background1"/>
                                        <w:szCs w:val="24"/>
                                      </w:rPr>
                                    </w:pPr>
                                    <w:r w:rsidRPr="003E4E40">
                                      <w:rPr>
                                        <w:b/>
                                        <w:color w:val="FFFFFF" w:themeColor="background1"/>
                                        <w:szCs w:val="24"/>
                                      </w:rPr>
                                      <w:t>1</w:t>
                                    </w:r>
                                  </w:p>
                                </w:txbxContent>
                              </wps:txbx>
                              <wps:bodyPr rot="0" vert="horz" wrap="square" lIns="91440" tIns="45720" rIns="91440" bIns="45720" anchor="ctr" anchorCtr="0" upright="1">
                                <a:noAutofit/>
                              </wps:bodyPr>
                            </wps:wsp>
                            <wps:wsp>
                              <wps:cNvPr id="9" name="Rectangle 26"/>
                              <wps:cNvSpPr>
                                <a:spLocks noChangeArrowheads="1"/>
                              </wps:cNvSpPr>
                              <wps:spPr bwMode="auto">
                                <a:xfrm>
                                  <a:off x="26000" y="0"/>
                                  <a:ext cx="5398" cy="2876"/>
                                </a:xfrm>
                                <a:prstGeom prst="rect">
                                  <a:avLst/>
                                </a:prstGeom>
                                <a:noFill/>
                                <a:ln w="19050">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06E4CD6" w14:textId="77777777" w:rsidR="00DA674F" w:rsidRPr="003E4E40" w:rsidRDefault="00DA674F" w:rsidP="00DA674F">
                                    <w:pPr>
                                      <w:jc w:val="center"/>
                                      <w:rPr>
                                        <w:b/>
                                        <w:color w:val="FFFFFF" w:themeColor="background1"/>
                                        <w:szCs w:val="24"/>
                                      </w:rPr>
                                    </w:pPr>
                                    <w:r w:rsidRPr="003E4E40">
                                      <w:rPr>
                                        <w:b/>
                                        <w:color w:val="FFFFFF" w:themeColor="background1"/>
                                        <w:szCs w:val="24"/>
                                      </w:rPr>
                                      <w:t>4</w:t>
                                    </w:r>
                                  </w:p>
                                  <w:p w14:paraId="12867AEC" w14:textId="77777777" w:rsidR="00DA674F" w:rsidRDefault="00DA674F" w:rsidP="00DA674F">
                                    <w:pPr>
                                      <w:jc w:val="center"/>
                                    </w:pPr>
                                  </w:p>
                                </w:txbxContent>
                              </wps:txbx>
                              <wps:bodyPr rot="0" vert="horz" wrap="square" lIns="91440" tIns="45720" rIns="91440" bIns="45720" anchor="ctr" anchorCtr="0" upright="1">
                                <a:noAutofit/>
                              </wps:bodyPr>
                            </wps:wsp>
                            <wps:wsp>
                              <wps:cNvPr id="10" name="Rectangle 27"/>
                              <wps:cNvSpPr>
                                <a:spLocks noChangeArrowheads="1"/>
                              </wps:cNvSpPr>
                              <wps:spPr bwMode="auto">
                                <a:xfrm>
                                  <a:off x="34111" y="0"/>
                                  <a:ext cx="5397" cy="2876"/>
                                </a:xfrm>
                                <a:prstGeom prst="rect">
                                  <a:avLst/>
                                </a:prstGeom>
                                <a:noFill/>
                                <a:ln w="19050">
                                  <a:solidFill>
                                    <a:sysClr val="window" lastClr="FFFFFF">
                                      <a:lumMod val="100000"/>
                                      <a:lumOff val="0"/>
                                    </a:sysClr>
                                  </a:solidFill>
                                  <a:miter lim="800000"/>
                                  <a:headEnd/>
                                  <a:tailEnd/>
                                </a:ln>
                              </wps:spPr>
                              <wps:txbx>
                                <w:txbxContent>
                                  <w:p w14:paraId="783D1A56" w14:textId="77777777" w:rsidR="00DA674F" w:rsidRPr="00F53B85" w:rsidRDefault="00DA674F" w:rsidP="00DA674F">
                                    <w:pPr>
                                      <w:jc w:val="center"/>
                                      <w:rPr>
                                        <w:b/>
                                        <w:color w:val="FFFFFF" w:themeColor="background1"/>
                                        <w:szCs w:val="24"/>
                                      </w:rPr>
                                    </w:pPr>
                                    <w:r w:rsidRPr="00F53B85">
                                      <w:rPr>
                                        <w:b/>
                                        <w:color w:val="FFFFFF" w:themeColor="background1"/>
                                        <w:szCs w:val="24"/>
                                      </w:rPr>
                                      <w:t>5</w:t>
                                    </w:r>
                                  </w:p>
                                </w:txbxContent>
                              </wps:txbx>
                              <wps:bodyPr rot="0" vert="horz" wrap="square" lIns="91440" tIns="45720" rIns="91440" bIns="45720" anchor="ctr" anchorCtr="0" upright="1">
                                <a:noAutofit/>
                              </wps:bodyPr>
                            </wps:wsp>
                            <wps:wsp>
                              <wps:cNvPr id="11" name="Rectangle 28"/>
                              <wps:cNvSpPr>
                                <a:spLocks noChangeArrowheads="1"/>
                              </wps:cNvSpPr>
                              <wps:spPr bwMode="auto">
                                <a:xfrm>
                                  <a:off x="42221" y="0"/>
                                  <a:ext cx="5397" cy="2876"/>
                                </a:xfrm>
                                <a:prstGeom prst="rect">
                                  <a:avLst/>
                                </a:prstGeom>
                                <a:noFill/>
                                <a:ln w="19050">
                                  <a:solidFill>
                                    <a:sysClr val="window" lastClr="FFFFFF">
                                      <a:lumMod val="100000"/>
                                      <a:lumOff val="0"/>
                                    </a:sysClr>
                                  </a:solidFill>
                                  <a:miter lim="800000"/>
                                  <a:headEnd/>
                                  <a:tailEnd/>
                                </a:ln>
                              </wps:spPr>
                              <wps:txbx>
                                <w:txbxContent>
                                  <w:p w14:paraId="35A7C50F" w14:textId="77777777" w:rsidR="00DA674F" w:rsidRPr="00CC5883" w:rsidRDefault="00DA674F" w:rsidP="00DA674F">
                                    <w:pPr>
                                      <w:jc w:val="center"/>
                                      <w:rPr>
                                        <w:b/>
                                        <w:color w:val="FFFFFF" w:themeColor="background1"/>
                                        <w:szCs w:val="24"/>
                                      </w:rPr>
                                    </w:pPr>
                                    <w:r w:rsidRPr="00CC5883">
                                      <w:rPr>
                                        <w:b/>
                                        <w:color w:val="FFFFFF" w:themeColor="background1"/>
                                        <w:szCs w:val="24"/>
                                      </w:rPr>
                                      <w:t>6</w:t>
                                    </w:r>
                                  </w:p>
                                  <w:p w14:paraId="003F9AA2" w14:textId="77777777" w:rsidR="00DA674F" w:rsidRDefault="00DA674F" w:rsidP="00DA674F">
                                    <w:pPr>
                                      <w:jc w:val="center"/>
                                    </w:pPr>
                                  </w:p>
                                </w:txbxContent>
                              </wps:txbx>
                              <wps:bodyPr rot="0" vert="horz" wrap="square" lIns="91440" tIns="45720" rIns="91440" bIns="45720" anchor="ctr" anchorCtr="0" upright="1">
                                <a:noAutofit/>
                              </wps:bodyPr>
                            </wps:wsp>
                            <wps:wsp>
                              <wps:cNvPr id="12" name="Rectangle 29"/>
                              <wps:cNvSpPr>
                                <a:spLocks noChangeArrowheads="1"/>
                              </wps:cNvSpPr>
                              <wps:spPr bwMode="auto">
                                <a:xfrm>
                                  <a:off x="50331" y="0"/>
                                  <a:ext cx="5398" cy="2876"/>
                                </a:xfrm>
                                <a:prstGeom prst="rect">
                                  <a:avLst/>
                                </a:prstGeom>
                                <a:noFill/>
                                <a:ln w="19050">
                                  <a:solidFill>
                                    <a:sysClr val="window" lastClr="FFFFFF">
                                      <a:lumMod val="100000"/>
                                      <a:lumOff val="0"/>
                                    </a:sysClr>
                                  </a:solidFill>
                                  <a:miter lim="800000"/>
                                  <a:headEnd/>
                                  <a:tailEnd/>
                                </a:ln>
                              </wps:spPr>
                              <wps:txbx>
                                <w:txbxContent>
                                  <w:p w14:paraId="00436FD5" w14:textId="77777777" w:rsidR="00DA674F" w:rsidRPr="00E06DA5" w:rsidRDefault="00DA674F" w:rsidP="00DA674F">
                                    <w:pPr>
                                      <w:jc w:val="center"/>
                                      <w:rPr>
                                        <w:b/>
                                        <w:color w:val="FFFFFF" w:themeColor="background1"/>
                                        <w:szCs w:val="24"/>
                                      </w:rPr>
                                    </w:pPr>
                                    <w:r w:rsidRPr="00E06DA5">
                                      <w:rPr>
                                        <w:b/>
                                        <w:color w:val="FFFFFF" w:themeColor="background1"/>
                                        <w:szCs w:val="24"/>
                                      </w:rPr>
                                      <w:t>7</w:t>
                                    </w:r>
                                  </w:p>
                                  <w:p w14:paraId="3625F30E" w14:textId="77777777" w:rsidR="00DA674F" w:rsidRDefault="00DA674F" w:rsidP="00DA674F">
                                    <w:pPr>
                                      <w:jc w:val="center"/>
                                    </w:pPr>
                                  </w:p>
                                </w:txbxContent>
                              </wps:txbx>
                              <wps:bodyPr rot="0" vert="horz" wrap="square" lIns="91440" tIns="45720" rIns="91440" bIns="45720" anchor="ctr" anchorCtr="0" upright="1">
                                <a:noAutofit/>
                              </wps:bodyPr>
                            </wps:wsp>
                            <wps:wsp>
                              <wps:cNvPr id="14" name="Straight Connector 129"/>
                              <wps:cNvCnPr>
                                <a:cxnSpLocks noChangeShapeType="1"/>
                              </wps:cNvCnPr>
                              <wps:spPr bwMode="auto">
                                <a:xfrm>
                                  <a:off x="0" y="3975"/>
                                  <a:ext cx="57594" cy="0"/>
                                </a:xfrm>
                                <a:prstGeom prst="line">
                                  <a:avLst/>
                                </a:prstGeom>
                                <a:noFill/>
                                <a:ln w="28575">
                                  <a:solidFill>
                                    <a:sysClr val="window" lastClr="FFFFFF">
                                      <a:lumMod val="100000"/>
                                      <a:lumOff val="0"/>
                                    </a:sysClr>
                                  </a:solidFill>
                                  <a:prstDash val="sysDot"/>
                                  <a:miter lim="800000"/>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4BF74A" id="Group 5" o:spid="_x0000_s1030" style="position:absolute;margin-left:83.35pt;margin-top:7.6pt;width:357.7pt;height:29.15pt;z-index:251658240;mso-position-horizontal-relative:margin" coordsize="57594,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">
                      <v:rect id="Rectangle 23" o:spid="_x0000_s1031" style="position:absolute;left:1669;width:5398;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" filled="f" strokecolor="white" strokeweight="1.5pt">
                        <v:textbox>
                          <w:txbxContent>
                            <w:p w14:paraId="2863A686" w14:textId="77777777" w:rsidR="00DA674F" w:rsidRPr="003E4E40" w:rsidRDefault="00DA674F" w:rsidP="00DA674F">
                              <w:pPr>
                                <w:jc w:val="center"/>
                                <w:rPr>
                                  <w:b/>
                                  <w:color w:val="FFFFFF" w:themeColor="background1"/>
                                  <w:szCs w:val="24"/>
                                </w:rPr>
                              </w:pPr>
                              <w:r w:rsidRPr="003E4E40">
                                <w:rPr>
                                  <w:b/>
                                  <w:color w:val="FFFFFF" w:themeColor="background1"/>
                                  <w:szCs w:val="24"/>
                                </w:rPr>
                                <w:t>1</w:t>
                              </w:r>
                            </w:p>
                          </w:txbxContent>
                        </v:textbox>
                      </v:rect>
                      <v:rect id="Rectangle 26" o:spid="_x0000_s1032" style="position:absolute;left:26000;width:5398;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" filled="f" strokecolor="white" strokeweight="1.5pt">
                        <v:textbox>
                          <w:txbxContent>
                            <w:p w14:paraId="306E4CD6" w14:textId="77777777" w:rsidR="00DA674F" w:rsidRPr="003E4E40" w:rsidRDefault="00DA674F" w:rsidP="00DA674F">
                              <w:pPr>
                                <w:jc w:val="center"/>
                                <w:rPr>
                                  <w:b/>
                                  <w:color w:val="FFFFFF" w:themeColor="background1"/>
                                  <w:szCs w:val="24"/>
                                </w:rPr>
                              </w:pPr>
                              <w:r w:rsidRPr="003E4E40">
                                <w:rPr>
                                  <w:b/>
                                  <w:color w:val="FFFFFF" w:themeColor="background1"/>
                                  <w:szCs w:val="24"/>
                                </w:rPr>
                                <w:t>4</w:t>
                              </w:r>
                            </w:p>
                            <w:p w14:paraId="12867AEC" w14:textId="77777777" w:rsidR="00DA674F" w:rsidRDefault="00DA674F" w:rsidP="00DA674F">
                              <w:pPr>
                                <w:jc w:val="center"/>
                              </w:pPr>
                            </w:p>
                          </w:txbxContent>
                        </v:textbox>
                      </v:rect>
                      <v:rect id="Rectangle 27" o:spid="_x0000_s1033" style="position:absolute;left:34111;width:5397;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" filled="f" strokecolor="white" strokeweight="1.5pt">
                        <v:textbox>
                          <w:txbxContent>
                            <w:p w14:paraId="783D1A56" w14:textId="77777777" w:rsidR="00DA674F" w:rsidRPr="00F53B85" w:rsidRDefault="00DA674F" w:rsidP="00DA674F">
                              <w:pPr>
                                <w:jc w:val="center"/>
                                <w:rPr>
                                  <w:b/>
                                  <w:color w:val="FFFFFF" w:themeColor="background1"/>
                                  <w:szCs w:val="24"/>
                                </w:rPr>
                              </w:pPr>
                              <w:r w:rsidRPr="00F53B85">
                                <w:rPr>
                                  <w:b/>
                                  <w:color w:val="FFFFFF" w:themeColor="background1"/>
                                  <w:szCs w:val="24"/>
                                </w:rPr>
                                <w:t>5</w:t>
                              </w:r>
                            </w:p>
                          </w:txbxContent>
                        </v:textbox>
                      </v:rect>
                      <v:rect id="Rectangle 28" o:spid="_x0000_s1034" style="position:absolute;left:42221;width:5397;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" filled="f" strokecolor="white" strokeweight="1.5pt">
                        <v:textbox>
                          <w:txbxContent>
                            <w:p w14:paraId="35A7C50F" w14:textId="77777777" w:rsidR="00DA674F" w:rsidRPr="00CC5883" w:rsidRDefault="00DA674F" w:rsidP="00DA674F">
                              <w:pPr>
                                <w:jc w:val="center"/>
                                <w:rPr>
                                  <w:b/>
                                  <w:color w:val="FFFFFF" w:themeColor="background1"/>
                                  <w:szCs w:val="24"/>
                                </w:rPr>
                              </w:pPr>
                              <w:r w:rsidRPr="00CC5883">
                                <w:rPr>
                                  <w:b/>
                                  <w:color w:val="FFFFFF" w:themeColor="background1"/>
                                  <w:szCs w:val="24"/>
                                </w:rPr>
                                <w:t>6</w:t>
                              </w:r>
                            </w:p>
                            <w:p w14:paraId="003F9AA2" w14:textId="77777777" w:rsidR="00DA674F" w:rsidRDefault="00DA674F" w:rsidP="00DA674F">
                              <w:pPr>
                                <w:jc w:val="center"/>
                              </w:pPr>
                            </w:p>
                          </w:txbxContent>
                        </v:textbox>
                      </v:rect>
                      <v:rect id="Rectangle 29" o:spid="_x0000_s1035" style="position:absolute;left:50331;width:5398;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" filled="f" strokecolor="white" strokeweight="1.5pt">
                        <v:textbox>
                          <w:txbxContent>
                            <w:p w14:paraId="00436FD5" w14:textId="77777777" w:rsidR="00DA674F" w:rsidRPr="00E06DA5" w:rsidRDefault="00DA674F" w:rsidP="00DA674F">
                              <w:pPr>
                                <w:jc w:val="center"/>
                                <w:rPr>
                                  <w:b/>
                                  <w:color w:val="FFFFFF" w:themeColor="background1"/>
                                  <w:szCs w:val="24"/>
                                </w:rPr>
                              </w:pPr>
                              <w:r w:rsidRPr="00E06DA5">
                                <w:rPr>
                                  <w:b/>
                                  <w:color w:val="FFFFFF" w:themeColor="background1"/>
                                  <w:szCs w:val="24"/>
                                </w:rPr>
                                <w:t>7</w:t>
                              </w:r>
                            </w:p>
                            <w:p w14:paraId="3625F30E" w14:textId="77777777" w:rsidR="00DA674F" w:rsidRDefault="00DA674F" w:rsidP="00DA674F">
                              <w:pPr>
                                <w:jc w:val="center"/>
                              </w:pPr>
                            </w:p>
                          </w:txbxContent>
                        </v:textbox>
                      </v:rect>
                      <v:line id="Straight Connector 129" o:spid="_x0000_s1036" style="position:absolute;visibility:visible;mso-wrap-style:square" from="0,3975" to="57594,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" strokecolor="white" strokeweight="2.25pt">
                        <v:stroke dashstyle="1 1" startarrow="block" endarrow="block" joinstyle="miter"/>
                      </v:line>
                      <w10:wrap anchorx="margin"/>
                      <w10:anchorlock/>
                    </v:group>
                  </w:pict>
                </mc:Fallback>
              </mc:AlternateContent>
            </w:r>
          </w:p>
          <w:p w14:paraId="6ADE55EF" w14:textId="0C4B933D" w:rsidR="00CD6867" w:rsidRPr="00D56F6A" w:rsidRDefault="00CD6867" w:rsidP="000D5C30">
            <w:pPr>
              <w:rPr>
                <w:sz w:val="18"/>
                <w:szCs w:val="18"/>
                <w:lang w:val="en-US"/>
              </w:rPr>
            </w:pPr>
          </w:p>
          <w:p w14:paraId="2F0577A0" w14:textId="509B0F9E" w:rsidR="00CD6867" w:rsidRPr="00D56F6A" w:rsidRDefault="00CD6867" w:rsidP="000D5C30">
            <w:pPr>
              <w:rPr>
                <w:sz w:val="18"/>
                <w:szCs w:val="18"/>
                <w:lang w:val="en-US"/>
              </w:rPr>
            </w:pPr>
          </w:p>
          <w:p w14:paraId="67078C9E" w14:textId="16920DF9" w:rsidR="00CD6867" w:rsidRPr="00D56F6A" w:rsidRDefault="00CD6867" w:rsidP="000D5C30">
            <w:pPr>
              <w:rPr>
                <w:sz w:val="18"/>
                <w:szCs w:val="18"/>
                <w:lang w:val="en-US"/>
              </w:rPr>
            </w:pPr>
          </w:p>
          <w:p w14:paraId="1C6E7E6F" w14:textId="7A781089" w:rsidR="0029030E" w:rsidRPr="00D56F6A" w:rsidRDefault="00CC0393" w:rsidP="000D5C30">
            <w:pPr>
              <w:rPr>
                <w:sz w:val="18"/>
                <w:szCs w:val="18"/>
                <w:lang w:val="en-US"/>
              </w:rPr>
            </w:pPr>
            <w:r w:rsidRPr="00F44448">
              <w:rPr>
                <w:b/>
                <w:noProof/>
                <w:color w:val="FFFFFF" w:themeColor="background1"/>
                <w:sz w:val="18"/>
                <w:szCs w:val="18"/>
                <w:lang w:eastAsia="el-GR"/>
              </w:rPr>
              <mc:AlternateContent>
                <mc:Choice Requires="wpg">
                  <w:drawing>
                    <wp:anchor distT="0" distB="0" distL="114300" distR="114300" simplePos="0" relativeHeight="251658243" behindDoc="0" locked="0" layoutInCell="1" allowOverlap="1" wp14:anchorId="7806D1C7" wp14:editId="7DA85661">
                      <wp:simplePos x="0" y="0"/>
                      <wp:positionH relativeFrom="margin">
                        <wp:posOffset>59689</wp:posOffset>
                      </wp:positionH>
                      <wp:positionV relativeFrom="paragraph">
                        <wp:posOffset>83820</wp:posOffset>
                      </wp:positionV>
                      <wp:extent cx="409575" cy="333375"/>
                      <wp:effectExtent l="0" t="0" r="9525"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 cy="333375"/>
                                <a:chOff x="0" y="3245"/>
                                <a:chExt cx="666750" cy="620219"/>
                              </a:xfrm>
                            </wpg:grpSpPr>
                            <wps:wsp>
                              <wps:cNvPr id="3" name="Freeform 5" descr="© INSCALE GmbH, 26.05.2010&#10;http://www.presentationload.com/"/>
                              <wps:cNvSpPr>
                                <a:spLocks noChangeAspect="1"/>
                              </wps:cNvSpPr>
                              <wps:spPr bwMode="gray">
                                <a:xfrm rot="10800000">
                                  <a:off x="0" y="15903"/>
                                  <a:ext cx="666750" cy="525779"/>
                                </a:xfrm>
                                <a:custGeom>
                                  <a:avLst/>
                                  <a:gdLst/>
                                  <a:ahLst/>
                                  <a:cxnLst>
                                    <a:cxn ang="0">
                                      <a:pos x="339" y="0"/>
                                    </a:cxn>
                                    <a:cxn ang="0">
                                      <a:pos x="356" y="30"/>
                                    </a:cxn>
                                    <a:cxn ang="0">
                                      <a:pos x="200" y="301"/>
                                    </a:cxn>
                                    <a:cxn ang="0">
                                      <a:pos x="166" y="301"/>
                                    </a:cxn>
                                    <a:cxn ang="0">
                                      <a:pos x="9" y="30"/>
                                    </a:cxn>
                                    <a:cxn ang="0">
                                      <a:pos x="26" y="0"/>
                                    </a:cxn>
                                    <a:cxn ang="0">
                                      <a:pos x="339" y="0"/>
                                    </a:cxn>
                                  </a:cxnLst>
                                  <a:rect l="0" t="0" r="r" b="b"/>
                                  <a:pathLst>
                                    <a:path w="366" h="317">
                                      <a:moveTo>
                                        <a:pt x="339" y="0"/>
                                      </a:moveTo>
                                      <a:cubicBezTo>
                                        <a:pt x="358" y="0"/>
                                        <a:pt x="366" y="14"/>
                                        <a:pt x="356" y="30"/>
                                      </a:cubicBezTo>
                                      <a:cubicBezTo>
                                        <a:pt x="200" y="301"/>
                                        <a:pt x="200" y="301"/>
                                        <a:pt x="200" y="301"/>
                                      </a:cubicBezTo>
                                      <a:cubicBezTo>
                                        <a:pt x="190" y="317"/>
                                        <a:pt x="175" y="317"/>
                                        <a:pt x="166" y="301"/>
                                      </a:cubicBezTo>
                                      <a:cubicBezTo>
                                        <a:pt x="9" y="30"/>
                                        <a:pt x="9" y="30"/>
                                        <a:pt x="9" y="30"/>
                                      </a:cubicBezTo>
                                      <a:cubicBezTo>
                                        <a:pt x="0" y="14"/>
                                        <a:pt x="8" y="0"/>
                                        <a:pt x="26" y="0"/>
                                      </a:cubicBezTo>
                                      <a:lnTo>
                                        <a:pt x="339" y="0"/>
                                      </a:lnTo>
                                      <a:close/>
                                    </a:path>
                                  </a:pathLst>
                                </a:custGeom>
                                <a:solidFill>
                                  <a:srgbClr val="FFFF00"/>
                                </a:solidFill>
                                <a:ln w="9525" cap="flat" cmpd="sng">
                                  <a:noFill/>
                                  <a:prstDash val="solid"/>
                                  <a:miter lim="800000"/>
                                  <a:headEnd type="none" w="med" len="med"/>
                                  <a:tailEnd type="none" w="med" len="med"/>
                                </a:ln>
                                <a:effectLst/>
                              </wps:spPr>
                              <wps:bodyPr wrap="square"/>
                            </wps:wsp>
                            <wps:wsp>
                              <wps:cNvPr id="4" name="Textfeld 202"/>
                              <wps:cNvSpPr txBox="1"/>
                              <wps:spPr bwMode="gray">
                                <a:xfrm>
                                  <a:off x="265015" y="3245"/>
                                  <a:ext cx="161290" cy="620219"/>
                                </a:xfrm>
                                <a:prstGeom prst="rect">
                                  <a:avLst/>
                                </a:prstGeom>
                                <a:noFill/>
                                <a:ln>
                                  <a:noFill/>
                                </a:ln>
                              </wps:spPr>
                              <wps:txbx>
                                <w:txbxContent>
                                  <w:p w14:paraId="52353198" w14:textId="77777777" w:rsidR="006136D1" w:rsidRPr="007C3A0D" w:rsidRDefault="006136D1" w:rsidP="006136D1">
                                    <w:pPr>
                                      <w:pStyle w:val="NormalWeb"/>
                                      <w:spacing w:before="0" w:beforeAutospacing="0" w:after="0" w:afterAutospacing="0"/>
                                      <w:rPr>
                                        <w:sz w:val="16"/>
                                        <w:szCs w:val="56"/>
                                      </w:rPr>
                                    </w:pPr>
                                    <w:r w:rsidRPr="007C3A0D">
                                      <w:rPr>
                                        <w:rFonts w:asciiTheme="minorHAnsi" w:hAnsi="Calibri" w:cstheme="minorBidi"/>
                                        <w:b/>
                                        <w:bCs/>
                                        <w:sz w:val="40"/>
                                        <w:szCs w:val="56"/>
                                        <w:lang w:val="en-US"/>
                                      </w:rPr>
                                      <w:t>!</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806D1C7" id="Group 2" o:spid="_x0000_s1037" style="position:absolute;margin-left:4.7pt;margin-top:6.6pt;width:32.25pt;height:26.25pt;z-index:251658243;mso-position-horizontal-relative:margin;mso-width-relative:margin;mso-height-relative:margin" coordorigin=",32" coordsize="666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">
                      <v:shape id="Freeform 5" o:spid="_x0000_s1038" alt="© INSCALE GmbH, 26.05.2010&#10;http://www.presentationload.com/" style="position:absolute;top:159;width:6667;height:5257;rotation:180;visibility:visible;mso-wrap-style:square;v-text-anchor:top" coordsize="366,317"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" path="m339,v19,,27,14,17,30c200,301,200,301,200,301v-10,16,-25,16,-34,c9,30,9,30,9,30,,14,8,,26,l339,xe" fillcolor="yellow" stroked="f">
                        <v:stroke joinstyle="miter"/>
                        <v:path arrowok="t" o:connecttype="custom" o:connectlocs="339,0;356,30;200,301;166,301;9,30;26,0;339,0" o:connectangles="0,0,0,0,0,0,0"/>
                        <o:lock v:ext="edit" aspectratio="t"/>
                      </v:shape>
                      <v:shape id="Textfeld 202" o:spid="_x0000_s1039" type="#_x0000_t202" style="position:absolute;left:2650;top:32;width:1613;height:6202;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" filled="f" stroked="f">
                        <v:textbox inset="0,0,0,0">
                          <w:txbxContent>
                            <w:p w14:paraId="52353198" w14:textId="77777777" w:rsidR="006136D1" w:rsidRPr="007C3A0D" w:rsidRDefault="006136D1" w:rsidP="006136D1">
                              <w:pPr>
                                <w:pStyle w:val="NormalWeb"/>
                                <w:spacing w:before="0" w:beforeAutospacing="0" w:after="0" w:afterAutospacing="0"/>
                                <w:rPr>
                                  <w:sz w:val="16"/>
                                  <w:szCs w:val="56"/>
                                </w:rPr>
                              </w:pPr>
                              <w:r w:rsidRPr="007C3A0D">
                                <w:rPr>
                                  <w:rFonts w:asciiTheme="minorHAnsi" w:hAnsi="Calibri" w:cstheme="minorBidi"/>
                                  <w:b/>
                                  <w:bCs/>
                                  <w:sz w:val="40"/>
                                  <w:szCs w:val="56"/>
                                  <w:lang w:val="en-US"/>
                                </w:rPr>
                                <w:t>!</w:t>
                              </w:r>
                            </w:p>
                          </w:txbxContent>
                        </v:textbox>
                      </v:shape>
                      <w10:wrap anchorx="margin"/>
                    </v:group>
                  </w:pict>
                </mc:Fallback>
              </mc:AlternateContent>
            </w:r>
          </w:p>
          <w:p w14:paraId="6B04AE5B" w14:textId="312C4DC7" w:rsidR="00953259" w:rsidRPr="00D56F6A" w:rsidRDefault="00D56F6A" w:rsidP="00CF7281">
            <w:pPr>
              <w:ind w:left="851" w:right="-1"/>
              <w:jc w:val="both"/>
              <w:rPr>
                <w:i/>
                <w:color w:val="FFFFFF" w:themeColor="background1"/>
                <w:sz w:val="18"/>
                <w:szCs w:val="18"/>
                <w:lang w:val="en-US"/>
              </w:rPr>
            </w:pPr>
            <w:r w:rsidRPr="00CF7281">
              <w:rPr>
                <w:i/>
                <w:color w:val="FFFFFF" w:themeColor="background1"/>
                <w:sz w:val="18"/>
                <w:szCs w:val="18"/>
                <w:lang w:val="en-US"/>
              </w:rPr>
              <w:t>The risk indicator assumes you keep the</w:t>
            </w:r>
            <w:r w:rsidR="000D5C30" w:rsidRPr="00CF7281">
              <w:rPr>
                <w:i/>
                <w:color w:val="FFFFFF" w:themeColor="background1"/>
                <w:sz w:val="18"/>
                <w:szCs w:val="18"/>
                <w:lang w:val="en-US"/>
              </w:rPr>
              <w:t xml:space="preserve"> </w:t>
            </w:r>
            <w:r w:rsidRPr="00CF7281">
              <w:rPr>
                <w:i/>
                <w:color w:val="FFFFFF" w:themeColor="background1"/>
                <w:sz w:val="18"/>
                <w:szCs w:val="18"/>
                <w:lang w:val="en-US"/>
              </w:rPr>
              <w:t xml:space="preserve">Fund for </w:t>
            </w:r>
            <w:r w:rsidR="007A1C28" w:rsidRPr="007A1C28">
              <w:rPr>
                <w:i/>
                <w:color w:val="FFFFFF" w:themeColor="background1"/>
                <w:sz w:val="18"/>
                <w:szCs w:val="18"/>
                <w:lang w:val="en-US"/>
              </w:rPr>
              <w:t>5</w:t>
            </w:r>
            <w:r w:rsidRPr="00CF7281">
              <w:rPr>
                <w:i/>
                <w:color w:val="FFFFFF" w:themeColor="background1"/>
                <w:sz w:val="18"/>
                <w:szCs w:val="18"/>
                <w:lang w:val="en-US"/>
              </w:rPr>
              <w:t xml:space="preserve"> years. The actual risk can vary significantly if you cash in at an early stage and you may get back less.</w:t>
            </w:r>
            <w:r w:rsidR="00CF7281">
              <w:rPr>
                <w:i/>
                <w:color w:val="FFFFFF" w:themeColor="background1"/>
                <w:sz w:val="18"/>
                <w:szCs w:val="18"/>
                <w:lang w:val="en-US"/>
              </w:rPr>
              <w:t xml:space="preserve"> You may not be able to sell your product easily or you may have to sell at a price that significantly impacts on how much you get back.</w:t>
            </w:r>
          </w:p>
        </w:tc>
      </w:tr>
      <w:tr w:rsidR="006277CC" w:rsidRPr="001F3C78" w14:paraId="7D99F8B4" w14:textId="77777777" w:rsidTr="00BC0905">
        <w:trPr>
          <w:trHeight w:val="20"/>
        </w:trPr>
        <w:tc>
          <w:tcPr>
            <w:tcW w:w="11341" w:type="dxa"/>
            <w:gridSpan w:val="4"/>
            <w:tcBorders>
              <w:top w:val="nil"/>
              <w:left w:val="nil"/>
              <w:bottom w:val="nil"/>
              <w:right w:val="nil"/>
            </w:tcBorders>
          </w:tcPr>
          <w:p w14:paraId="53F3A3C6" w14:textId="77777777" w:rsidR="00CC0393" w:rsidRPr="004760CA" w:rsidRDefault="00CC0393" w:rsidP="000D5C30">
            <w:pPr>
              <w:spacing w:line="120" w:lineRule="auto"/>
              <w:jc w:val="both"/>
              <w:rPr>
                <w:sz w:val="18"/>
                <w:szCs w:val="18"/>
                <w:lang w:val="en-US"/>
              </w:rPr>
            </w:pPr>
          </w:p>
          <w:p w14:paraId="38ADC637" w14:textId="6BD2440A" w:rsidR="00307AB4" w:rsidRPr="00742E3E" w:rsidRDefault="00D56F6A" w:rsidP="000D5C30">
            <w:pPr>
              <w:jc w:val="both"/>
              <w:rPr>
                <w:sz w:val="18"/>
                <w:szCs w:val="18"/>
                <w:lang w:val="en-US"/>
              </w:rPr>
            </w:pPr>
            <w:r w:rsidRPr="00AA4119">
              <w:rPr>
                <w:sz w:val="18"/>
                <w:szCs w:val="18"/>
                <w:lang w:val="en-US"/>
              </w:rPr>
              <w:t xml:space="preserve">The summary risk indicator is a guide to the level of risk of this </w:t>
            </w:r>
            <w:r w:rsidRPr="00EA0BD7">
              <w:rPr>
                <w:sz w:val="18"/>
                <w:szCs w:val="18"/>
                <w:lang w:val="en-US"/>
              </w:rPr>
              <w:t>product compared to other products.</w:t>
            </w:r>
            <w:r w:rsidR="00137BBB" w:rsidRPr="00EA0BD7">
              <w:rPr>
                <w:sz w:val="18"/>
                <w:szCs w:val="18"/>
                <w:lang w:val="en-US"/>
              </w:rPr>
              <w:t xml:space="preserve"> It shows how likely it is that the product will lose money because of movements in the markets or because we are not able to pay you. </w:t>
            </w:r>
            <w:r w:rsidRPr="00EA0BD7">
              <w:rPr>
                <w:sz w:val="18"/>
                <w:szCs w:val="18"/>
                <w:lang w:val="en-US"/>
              </w:rPr>
              <w:t xml:space="preserve">On a risk scale 1 to 7, </w:t>
            </w:r>
            <w:r w:rsidR="00117399">
              <w:rPr>
                <w:sz w:val="18"/>
                <w:szCs w:val="18"/>
                <w:lang w:val="en-US"/>
              </w:rPr>
              <w:t xml:space="preserve">we have classified the </w:t>
            </w:r>
            <w:r w:rsidR="00117399" w:rsidRPr="00C322F1">
              <w:rPr>
                <w:sz w:val="18"/>
                <w:szCs w:val="18"/>
                <w:lang w:val="en-US"/>
              </w:rPr>
              <w:t xml:space="preserve">Fund at </w:t>
            </w:r>
            <w:r w:rsidR="004B4DE1" w:rsidRPr="00C322F1">
              <w:rPr>
                <w:sz w:val="18"/>
                <w:szCs w:val="18"/>
                <w:lang w:val="en-US"/>
              </w:rPr>
              <w:t>3</w:t>
            </w:r>
            <w:r w:rsidR="00117399" w:rsidRPr="00C322F1">
              <w:rPr>
                <w:sz w:val="18"/>
                <w:szCs w:val="18"/>
                <w:lang w:val="en-US"/>
              </w:rPr>
              <w:t xml:space="preserve"> which is a “</w:t>
            </w:r>
            <w:r w:rsidR="004B4DE1" w:rsidRPr="00C322F1">
              <w:rPr>
                <w:sz w:val="18"/>
                <w:szCs w:val="18"/>
                <w:lang w:val="en-US"/>
              </w:rPr>
              <w:t>medium-</w:t>
            </w:r>
            <w:r w:rsidR="00117399" w:rsidRPr="00C322F1">
              <w:rPr>
                <w:sz w:val="18"/>
                <w:szCs w:val="18"/>
                <w:lang w:val="en-US"/>
              </w:rPr>
              <w:t>low” risk class. This classification rates at a “</w:t>
            </w:r>
            <w:r w:rsidR="004B4DE1" w:rsidRPr="00C322F1">
              <w:rPr>
                <w:sz w:val="18"/>
                <w:szCs w:val="18"/>
                <w:lang w:val="en-US"/>
              </w:rPr>
              <w:t>medium-</w:t>
            </w:r>
            <w:r w:rsidR="00117399" w:rsidRPr="00C322F1">
              <w:rPr>
                <w:sz w:val="18"/>
                <w:szCs w:val="18"/>
                <w:lang w:val="en-US"/>
              </w:rPr>
              <w:t>low” level the potential losses from future performance of the Fund and poor market conditions are</w:t>
            </w:r>
            <w:r w:rsidR="00DC29B1" w:rsidRPr="00C322F1">
              <w:rPr>
                <w:sz w:val="18"/>
                <w:szCs w:val="18"/>
                <w:lang w:val="en-US"/>
              </w:rPr>
              <w:t xml:space="preserve"> </w:t>
            </w:r>
            <w:r w:rsidR="00DE1886" w:rsidRPr="00C322F1">
              <w:rPr>
                <w:sz w:val="18"/>
                <w:szCs w:val="18"/>
                <w:lang w:val="en-US"/>
              </w:rPr>
              <w:t xml:space="preserve">very </w:t>
            </w:r>
            <w:r w:rsidR="00117399" w:rsidRPr="00C322F1">
              <w:rPr>
                <w:sz w:val="18"/>
                <w:szCs w:val="18"/>
                <w:lang w:val="en-US"/>
              </w:rPr>
              <w:t xml:space="preserve">unlikely </w:t>
            </w:r>
            <w:r w:rsidR="00117399">
              <w:rPr>
                <w:sz w:val="18"/>
                <w:szCs w:val="18"/>
                <w:lang w:val="en-US"/>
              </w:rPr>
              <w:t>to have an impact on the capacity of the Fund, legally represented, to pay you through its Depositary.</w:t>
            </w:r>
            <w:r w:rsidR="00117399">
              <w:rPr>
                <w:lang w:val="en-US"/>
              </w:rPr>
              <w:t xml:space="preserve"> </w:t>
            </w:r>
            <w:r w:rsidR="00117399">
              <w:rPr>
                <w:sz w:val="18"/>
                <w:szCs w:val="18"/>
                <w:lang w:val="en-US"/>
              </w:rPr>
              <w:t xml:space="preserve">Other relevant risks of the Fund not included in the summary risk indicator are issuer </w:t>
            </w:r>
            <w:r w:rsidR="00117399" w:rsidRPr="008C0C78">
              <w:rPr>
                <w:sz w:val="18"/>
                <w:szCs w:val="18"/>
                <w:lang w:val="en-US"/>
              </w:rPr>
              <w:t xml:space="preserve">credit risk (the risk of a bond issuer(s) to meet its/their obligations, resulting the Fund to be unable to retrieve part of its investment), counterparty risk </w:t>
            </w:r>
            <w:r w:rsidR="00AF6AA6" w:rsidRPr="00AF6AA6">
              <w:rPr>
                <w:sz w:val="18"/>
                <w:szCs w:val="18"/>
                <w:lang w:val="en-US"/>
              </w:rPr>
              <w:t>arising from the possibility of default on the terms of the "</w:t>
            </w:r>
            <w:r w:rsidR="00A37416" w:rsidRPr="00A37416">
              <w:rPr>
                <w:sz w:val="18"/>
                <w:szCs w:val="18"/>
                <w:lang w:val="en-US"/>
              </w:rPr>
              <w:t>Bond/Equity-Linked Swap Contracts</w:t>
            </w:r>
            <w:r w:rsidR="00AF6AA6" w:rsidRPr="00AF6AA6">
              <w:rPr>
                <w:sz w:val="18"/>
                <w:szCs w:val="18"/>
                <w:lang w:val="en-US"/>
              </w:rPr>
              <w:t>"</w:t>
            </w:r>
            <w:r w:rsidR="00117399" w:rsidRPr="008C0C78">
              <w:rPr>
                <w:sz w:val="18"/>
                <w:szCs w:val="18"/>
                <w:lang w:val="en-US"/>
              </w:rPr>
              <w:t>, liquidity risk,</w:t>
            </w:r>
            <w:r w:rsidR="00AF6AA6" w:rsidRPr="00AF6AA6">
              <w:rPr>
                <w:lang w:val="en-US"/>
              </w:rPr>
              <w:t xml:space="preserve"> </w:t>
            </w:r>
            <w:r w:rsidR="00AF6AA6" w:rsidRPr="00AF6AA6">
              <w:rPr>
                <w:sz w:val="18"/>
                <w:szCs w:val="18"/>
                <w:lang w:val="en-US"/>
              </w:rPr>
              <w:t xml:space="preserve">the risk that certain assets of the Fund cannot be liquidated at the </w:t>
            </w:r>
            <w:r w:rsidR="00AF6AA6" w:rsidRPr="00A37416">
              <w:rPr>
                <w:sz w:val="18"/>
                <w:szCs w:val="18"/>
                <w:lang w:val="en-US"/>
              </w:rPr>
              <w:t xml:space="preserve">desired time or at a limited cost, in order for the Fund to comply at all times with its redemption obligations </w:t>
            </w:r>
            <w:r w:rsidR="00117399" w:rsidRPr="00A37416">
              <w:rPr>
                <w:sz w:val="18"/>
                <w:szCs w:val="18"/>
                <w:lang w:val="en-US"/>
              </w:rPr>
              <w:t xml:space="preserve">and operational risk, the risk of loss for the Fund that may arise from human errors or omissions, process errors, system failures or external events, including risks related to the custody of the Fund’s assets. </w:t>
            </w:r>
            <w:r w:rsidR="00A75D13" w:rsidRPr="00A37416">
              <w:rPr>
                <w:sz w:val="18"/>
                <w:szCs w:val="18"/>
                <w:lang w:val="en-US"/>
              </w:rPr>
              <w:t xml:space="preserve">In </w:t>
            </w:r>
            <w:r w:rsidR="007A1C28">
              <w:rPr>
                <w:sz w:val="18"/>
                <w:szCs w:val="18"/>
                <w:lang w:val="en-US"/>
              </w:rPr>
              <w:t>case</w:t>
            </w:r>
            <w:r w:rsidR="007A1C28" w:rsidRPr="007A1C28">
              <w:rPr>
                <w:lang w:val="en-US"/>
              </w:rPr>
              <w:t xml:space="preserve"> </w:t>
            </w:r>
            <w:r w:rsidR="007A1C28" w:rsidRPr="007A1C28">
              <w:rPr>
                <w:sz w:val="18"/>
                <w:szCs w:val="18"/>
                <w:lang w:val="en-US"/>
              </w:rPr>
              <w:t xml:space="preserve">the predetermined return is not </w:t>
            </w:r>
            <w:r w:rsidR="007A1C28">
              <w:rPr>
                <w:sz w:val="18"/>
                <w:szCs w:val="18"/>
                <w:lang w:val="en-US"/>
              </w:rPr>
              <w:t>activated,</w:t>
            </w:r>
            <w:r w:rsidR="007A1C28" w:rsidRPr="007A1C28">
              <w:rPr>
                <w:sz w:val="18"/>
                <w:szCs w:val="18"/>
                <w:lang w:val="en-US"/>
              </w:rPr>
              <w:t xml:space="preserve"> </w:t>
            </w:r>
            <w:r w:rsidR="00480796" w:rsidRPr="00480796">
              <w:rPr>
                <w:sz w:val="18"/>
                <w:szCs w:val="18"/>
                <w:lang w:val="en-US"/>
              </w:rPr>
              <w:t>it seeks to offer protection on the invested capital and a zero return</w:t>
            </w:r>
            <w:r w:rsidR="007A1C28">
              <w:rPr>
                <w:sz w:val="18"/>
                <w:szCs w:val="18"/>
                <w:lang w:val="en-US"/>
              </w:rPr>
              <w:t xml:space="preserve">. </w:t>
            </w:r>
            <w:r w:rsidR="008C0C78" w:rsidRPr="00A37416">
              <w:rPr>
                <w:sz w:val="18"/>
                <w:szCs w:val="18"/>
                <w:lang w:val="en-US"/>
              </w:rPr>
              <w:t>However, this protection against future market performance will not apply if (a) the investor cashes in before maturity, (b)</w:t>
            </w:r>
            <w:r w:rsidR="008C0C78" w:rsidRPr="00A37416">
              <w:rPr>
                <w:lang w:val="en-US"/>
              </w:rPr>
              <w:t xml:space="preserve"> </w:t>
            </w:r>
            <w:r w:rsidR="008C0C78" w:rsidRPr="00A37416">
              <w:rPr>
                <w:sz w:val="18"/>
                <w:szCs w:val="18"/>
                <w:lang w:val="en-US"/>
              </w:rPr>
              <w:t>there is a credit event either from the issuers of the bonds included</w:t>
            </w:r>
            <w:r w:rsidR="008C0C78" w:rsidRPr="008C0C78">
              <w:rPr>
                <w:sz w:val="18"/>
                <w:szCs w:val="18"/>
                <w:lang w:val="en-US"/>
              </w:rPr>
              <w:t xml:space="preserve"> in the portfolio or the counterparty to the “</w:t>
            </w:r>
            <w:r w:rsidR="00A37416" w:rsidRPr="00A37416">
              <w:rPr>
                <w:sz w:val="18"/>
                <w:szCs w:val="18"/>
                <w:lang w:val="en-US"/>
              </w:rPr>
              <w:t>Bond/Equity-Linked Swap Contracts</w:t>
            </w:r>
            <w:r w:rsidR="008C0C78" w:rsidRPr="008C0C78">
              <w:rPr>
                <w:sz w:val="18"/>
                <w:szCs w:val="18"/>
                <w:lang w:val="en-US"/>
              </w:rPr>
              <w:t>”, (c) the income of the bond portfolio does not fully cover all of the Fund’s costs.</w:t>
            </w:r>
          </w:p>
        </w:tc>
      </w:tr>
      <w:tr w:rsidR="009A34D0" w:rsidRPr="00C107F5" w14:paraId="16DE1490" w14:textId="77777777" w:rsidTr="00BC0905">
        <w:trPr>
          <w:trHeight w:val="20"/>
        </w:trPr>
        <w:tc>
          <w:tcPr>
            <w:tcW w:w="11341" w:type="dxa"/>
            <w:gridSpan w:val="4"/>
            <w:tcBorders>
              <w:top w:val="nil"/>
              <w:left w:val="nil"/>
              <w:bottom w:val="nil"/>
              <w:right w:val="nil"/>
            </w:tcBorders>
          </w:tcPr>
          <w:p w14:paraId="043456DA" w14:textId="77777777" w:rsidR="008A1830" w:rsidRDefault="008A1830" w:rsidP="000D5C30">
            <w:pPr>
              <w:jc w:val="both"/>
              <w:rPr>
                <w:b/>
                <w:bCs/>
                <w:sz w:val="20"/>
                <w:szCs w:val="20"/>
                <w:lang w:val="en-US"/>
              </w:rPr>
            </w:pPr>
          </w:p>
          <w:p w14:paraId="57ABDB46" w14:textId="14405CC9" w:rsidR="00D56F6A" w:rsidRPr="00137BBB" w:rsidRDefault="00D56F6A" w:rsidP="000D5C30">
            <w:pPr>
              <w:jc w:val="both"/>
              <w:rPr>
                <w:b/>
                <w:bCs/>
                <w:sz w:val="20"/>
                <w:szCs w:val="20"/>
                <w:lang w:val="en-US"/>
              </w:rPr>
            </w:pPr>
            <w:r w:rsidRPr="00137BBB">
              <w:rPr>
                <w:b/>
                <w:bCs/>
                <w:sz w:val="20"/>
                <w:szCs w:val="20"/>
                <w:lang w:val="en-US"/>
              </w:rPr>
              <w:t xml:space="preserve">Performance Scenarios </w:t>
            </w:r>
          </w:p>
          <w:p w14:paraId="4B10B62B" w14:textId="1D18D455" w:rsidR="009A6C2E" w:rsidRPr="00137BBB" w:rsidRDefault="00D56F6A" w:rsidP="000D5C30">
            <w:pPr>
              <w:jc w:val="both"/>
              <w:rPr>
                <w:b/>
                <w:bCs/>
                <w:sz w:val="18"/>
                <w:szCs w:val="18"/>
                <w:lang w:val="en-US"/>
              </w:rPr>
            </w:pPr>
            <w:r w:rsidRPr="00137BBB">
              <w:rPr>
                <w:b/>
                <w:bCs/>
                <w:sz w:val="18"/>
                <w:szCs w:val="18"/>
                <w:lang w:val="en-US"/>
              </w:rPr>
              <w:t>What you will get from this product depends on future market performance. Market developments in the future are uncertain and cannot be accurately</w:t>
            </w:r>
            <w:r w:rsidR="00C107F5" w:rsidRPr="00C107F5">
              <w:rPr>
                <w:b/>
                <w:bCs/>
                <w:sz w:val="18"/>
                <w:szCs w:val="18"/>
                <w:lang w:val="en-US"/>
              </w:rPr>
              <w:t xml:space="preserve"> </w:t>
            </w:r>
            <w:r w:rsidRPr="00137BBB">
              <w:rPr>
                <w:b/>
                <w:bCs/>
                <w:sz w:val="18"/>
                <w:szCs w:val="18"/>
                <w:lang w:val="en-US"/>
              </w:rPr>
              <w:t>predicted.</w:t>
            </w:r>
            <w:r w:rsidR="00C107F5" w:rsidRPr="00C107F5">
              <w:rPr>
                <w:b/>
                <w:bCs/>
                <w:sz w:val="18"/>
                <w:szCs w:val="18"/>
                <w:lang w:val="en-US"/>
              </w:rPr>
              <w:t xml:space="preserve"> </w:t>
            </w:r>
            <w:r w:rsidR="0064469B" w:rsidRPr="0064469B">
              <w:rPr>
                <w:b/>
                <w:bCs/>
                <w:sz w:val="18"/>
                <w:szCs w:val="18"/>
                <w:lang w:val="en-US"/>
              </w:rPr>
              <w:t>The scenarios shown are illustrations based on results from the past and on certain </w:t>
            </w:r>
            <w:r w:rsidR="0064469B" w:rsidRPr="0064469B">
              <w:rPr>
                <w:b/>
                <w:bCs/>
                <w:sz w:val="18"/>
                <w:szCs w:val="18"/>
                <w:lang w:val="en-US"/>
              </w:rPr>
              <w:br/>
              <w:t>assumptions.</w:t>
            </w:r>
            <w:r w:rsidRPr="00137BBB">
              <w:rPr>
                <w:b/>
                <w:bCs/>
                <w:sz w:val="18"/>
                <w:szCs w:val="18"/>
                <w:lang w:val="en-US"/>
              </w:rPr>
              <w:t xml:space="preserve"> Markets could develop very differently in the future.</w:t>
            </w:r>
          </w:p>
          <w:p w14:paraId="0B0D435E" w14:textId="20F751FA" w:rsidR="00CC0393" w:rsidRPr="006419B3" w:rsidRDefault="00CC0393" w:rsidP="000D5C30">
            <w:pPr>
              <w:jc w:val="both"/>
              <w:rPr>
                <w:rFonts w:ascii="Calibri" w:eastAsia="Calibri" w:hAnsi="Calibri" w:cs="Times New Roman"/>
                <w:color w:val="FF0000"/>
                <w:sz w:val="18"/>
                <w:szCs w:val="18"/>
                <w:lang w:val="en-US"/>
              </w:rPr>
            </w:pPr>
          </w:p>
        </w:tc>
      </w:tr>
      <w:tr w:rsidR="005E0D77" w:rsidRPr="001F3C78" w14:paraId="4C4BB579"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4"/>
            <w:tcBorders>
              <w:top w:val="nil"/>
              <w:left w:val="nil"/>
              <w:bottom w:val="nil"/>
              <w:right w:val="nil"/>
            </w:tcBorders>
          </w:tcPr>
          <w:tbl>
            <w:tblPr>
              <w:tblStyle w:val="TableGrid"/>
              <w:tblpPr w:leftFromText="180" w:rightFromText="180" w:vertAnchor="page" w:horzAnchor="margin" w:tblpY="1"/>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4"/>
              <w:gridCol w:w="3682"/>
              <w:gridCol w:w="2412"/>
              <w:gridCol w:w="2271"/>
            </w:tblGrid>
            <w:tr w:rsidR="007A4E79" w:rsidRPr="001F3C78" w14:paraId="4BAA6935" w14:textId="77777777" w:rsidTr="009521EC">
              <w:trPr>
                <w:trHeight w:val="555"/>
              </w:trPr>
              <w:tc>
                <w:tcPr>
                  <w:tcW w:w="2834" w:type="dxa"/>
                  <w:shd w:val="clear" w:color="auto" w:fill="1F497D"/>
                </w:tcPr>
                <w:p w14:paraId="388E10D9" w14:textId="77777777" w:rsidR="007A4E79" w:rsidRPr="001E2810" w:rsidRDefault="007A4E79" w:rsidP="000D5C30">
                  <w:pPr>
                    <w:rPr>
                      <w:rFonts w:ascii="Calibri" w:eastAsia="Calibri" w:hAnsi="Calibri"/>
                      <w:color w:val="FFFFFF" w:themeColor="background1"/>
                      <w:sz w:val="20"/>
                      <w:szCs w:val="20"/>
                      <w:lang w:val="en-US"/>
                    </w:rPr>
                  </w:pPr>
                  <w:r w:rsidRPr="001E2810">
                    <w:rPr>
                      <w:rFonts w:ascii="Calibri" w:eastAsia="Calibri" w:hAnsi="Calibri"/>
                      <w:color w:val="FFFFFF" w:themeColor="background1"/>
                      <w:sz w:val="20"/>
                      <w:szCs w:val="20"/>
                      <w:lang w:val="en-US"/>
                    </w:rPr>
                    <w:t xml:space="preserve">Recommended holding period: </w:t>
                  </w:r>
                </w:p>
                <w:p w14:paraId="76D0A248" w14:textId="3D292EAC" w:rsidR="007A4E79" w:rsidRPr="001E2810" w:rsidRDefault="007A4E79" w:rsidP="000D5C30">
                  <w:pPr>
                    <w:jc w:val="both"/>
                    <w:rPr>
                      <w:rFonts w:ascii="Calibri" w:eastAsia="Calibri" w:hAnsi="Calibri"/>
                      <w:color w:val="FFFFFF" w:themeColor="background1"/>
                      <w:sz w:val="20"/>
                      <w:szCs w:val="20"/>
                      <w:lang w:val="en-US"/>
                    </w:rPr>
                  </w:pPr>
                  <w:r w:rsidRPr="001E2810">
                    <w:rPr>
                      <w:rFonts w:ascii="Calibri" w:eastAsia="Calibri" w:hAnsi="Calibri"/>
                      <w:color w:val="FFFFFF" w:themeColor="background1"/>
                      <w:sz w:val="20"/>
                      <w:szCs w:val="20"/>
                      <w:lang w:val="en-US"/>
                    </w:rPr>
                    <w:t>Example Investment:</w:t>
                  </w:r>
                </w:p>
              </w:tc>
              <w:tc>
                <w:tcPr>
                  <w:tcW w:w="3682" w:type="dxa"/>
                  <w:shd w:val="clear" w:color="auto" w:fill="1F497D"/>
                </w:tcPr>
                <w:p w14:paraId="0A63660B" w14:textId="224E80B0" w:rsidR="007A4E79" w:rsidRPr="001E2810" w:rsidRDefault="003C7D97" w:rsidP="000D5C30">
                  <w:pPr>
                    <w:jc w:val="both"/>
                    <w:rPr>
                      <w:rFonts w:ascii="Calibri" w:eastAsia="Calibri" w:hAnsi="Calibri"/>
                      <w:color w:val="FFFFFF" w:themeColor="background1"/>
                      <w:sz w:val="20"/>
                      <w:szCs w:val="20"/>
                      <w:lang w:val="en-US"/>
                    </w:rPr>
                  </w:pPr>
                  <w:r>
                    <w:rPr>
                      <w:rFonts w:ascii="Calibri" w:eastAsia="Calibri" w:hAnsi="Calibri"/>
                      <w:color w:val="FFFFFF" w:themeColor="background1"/>
                      <w:sz w:val="20"/>
                      <w:szCs w:val="20"/>
                      <w:lang w:val="en-US"/>
                    </w:rPr>
                    <w:t xml:space="preserve">5 </w:t>
                  </w:r>
                  <w:r w:rsidR="007A4E79" w:rsidRPr="00EA0BD7">
                    <w:rPr>
                      <w:rFonts w:ascii="Calibri" w:eastAsia="Calibri" w:hAnsi="Calibri"/>
                      <w:color w:val="FFFFFF" w:themeColor="background1"/>
                      <w:sz w:val="20"/>
                      <w:szCs w:val="20"/>
                      <w:lang w:val="en-US"/>
                    </w:rPr>
                    <w:t>years</w:t>
                  </w:r>
                </w:p>
                <w:p w14:paraId="7A8E7F4E" w14:textId="3CF1C79A" w:rsidR="007A4E79" w:rsidRPr="001E2810" w:rsidRDefault="007A4E79" w:rsidP="000D5C30">
                  <w:pPr>
                    <w:jc w:val="both"/>
                    <w:rPr>
                      <w:color w:val="FFFFFF" w:themeColor="background1"/>
                      <w:sz w:val="20"/>
                      <w:szCs w:val="20"/>
                      <w:lang w:val="en-US"/>
                    </w:rPr>
                  </w:pPr>
                  <w:r w:rsidRPr="001E2810">
                    <w:rPr>
                      <w:rFonts w:ascii="Calibri" w:eastAsia="Calibri" w:hAnsi="Calibri"/>
                      <w:color w:val="FFFFFF" w:themeColor="background1"/>
                      <w:sz w:val="20"/>
                      <w:szCs w:val="20"/>
                    </w:rPr>
                    <w:t xml:space="preserve">10.000 </w:t>
                  </w:r>
                  <w:r>
                    <w:rPr>
                      <w:rFonts w:ascii="Calibri" w:eastAsia="Calibri" w:hAnsi="Calibri"/>
                      <w:color w:val="FFFFFF" w:themeColor="background1"/>
                      <w:sz w:val="20"/>
                      <w:szCs w:val="20"/>
                      <w:lang w:val="en-US"/>
                    </w:rPr>
                    <w:t>EUR</w:t>
                  </w:r>
                </w:p>
              </w:tc>
              <w:tc>
                <w:tcPr>
                  <w:tcW w:w="2412" w:type="dxa"/>
                  <w:shd w:val="clear" w:color="auto" w:fill="1F497D"/>
                </w:tcPr>
                <w:p w14:paraId="62B58CA7" w14:textId="053E5BD0" w:rsidR="007A4E79" w:rsidRPr="007A4E79" w:rsidRDefault="007A4E79" w:rsidP="000D5C30">
                  <w:pPr>
                    <w:jc w:val="right"/>
                    <w:rPr>
                      <w:color w:val="FFFFFF" w:themeColor="background1"/>
                      <w:sz w:val="20"/>
                      <w:szCs w:val="20"/>
                      <w:lang w:val="en-US"/>
                    </w:rPr>
                  </w:pPr>
                  <w:r w:rsidRPr="007B399D">
                    <w:rPr>
                      <w:rFonts w:ascii="Calibri" w:eastAsia="Calibri" w:hAnsi="Calibri"/>
                      <w:color w:val="FFFFFF" w:themeColor="background1"/>
                      <w:sz w:val="20"/>
                      <w:szCs w:val="20"/>
                      <w:lang w:val="en-US"/>
                    </w:rPr>
                    <w:t>If you exit after 1 year</w:t>
                  </w:r>
                </w:p>
              </w:tc>
              <w:tc>
                <w:tcPr>
                  <w:tcW w:w="2271" w:type="dxa"/>
                  <w:shd w:val="clear" w:color="auto" w:fill="1F497D"/>
                </w:tcPr>
                <w:p w14:paraId="47B6D230" w14:textId="4832F19E" w:rsidR="007A4E79" w:rsidRPr="007A4E79" w:rsidRDefault="007A4E79" w:rsidP="000D5C30">
                  <w:pPr>
                    <w:jc w:val="right"/>
                    <w:rPr>
                      <w:color w:val="FFFFFF" w:themeColor="background1"/>
                      <w:sz w:val="20"/>
                      <w:szCs w:val="20"/>
                      <w:lang w:val="en-US"/>
                    </w:rPr>
                  </w:pPr>
                  <w:r w:rsidRPr="007B399D">
                    <w:rPr>
                      <w:rFonts w:ascii="Calibri" w:eastAsia="Calibri" w:hAnsi="Calibri"/>
                      <w:color w:val="FFFFFF" w:themeColor="background1"/>
                      <w:sz w:val="20"/>
                      <w:szCs w:val="20"/>
                      <w:lang w:val="en-US"/>
                    </w:rPr>
                    <w:t xml:space="preserve">If you exit </w:t>
                  </w:r>
                  <w:r w:rsidRPr="00EA0BD7">
                    <w:rPr>
                      <w:rFonts w:ascii="Calibri" w:eastAsia="Calibri" w:hAnsi="Calibri"/>
                      <w:color w:val="FFFFFF" w:themeColor="background1"/>
                      <w:sz w:val="20"/>
                      <w:szCs w:val="20"/>
                      <w:lang w:val="en-US"/>
                    </w:rPr>
                    <w:t xml:space="preserve">after </w:t>
                  </w:r>
                  <w:r w:rsidR="003C7D97">
                    <w:rPr>
                      <w:rFonts w:ascii="Calibri" w:eastAsia="Calibri" w:hAnsi="Calibri"/>
                      <w:color w:val="FFFFFF" w:themeColor="background1"/>
                      <w:sz w:val="20"/>
                      <w:szCs w:val="20"/>
                      <w:lang w:val="en-US"/>
                    </w:rPr>
                    <w:t>5</w:t>
                  </w:r>
                  <w:r w:rsidRPr="00EA0BD7">
                    <w:rPr>
                      <w:rFonts w:ascii="Calibri" w:eastAsia="Calibri" w:hAnsi="Calibri"/>
                      <w:color w:val="FFFFFF" w:themeColor="background1"/>
                      <w:sz w:val="20"/>
                      <w:szCs w:val="20"/>
                      <w:lang w:val="en-US"/>
                    </w:rPr>
                    <w:t xml:space="preserve"> years</w:t>
                  </w:r>
                </w:p>
              </w:tc>
            </w:tr>
            <w:tr w:rsidR="007A4E79" w:rsidRPr="00684DCD" w14:paraId="3A349523" w14:textId="77777777" w:rsidTr="009521EC">
              <w:tc>
                <w:tcPr>
                  <w:tcW w:w="2834" w:type="dxa"/>
                  <w:shd w:val="clear" w:color="auto" w:fill="1F497D"/>
                  <w:tcMar>
                    <w:top w:w="57" w:type="dxa"/>
                    <w:bottom w:w="57" w:type="dxa"/>
                  </w:tcMar>
                </w:tcPr>
                <w:p w14:paraId="17A9F38A" w14:textId="1326D15D" w:rsidR="007A4E79" w:rsidRPr="007B399D" w:rsidRDefault="007A4E79" w:rsidP="000D5C30">
                  <w:pPr>
                    <w:jc w:val="both"/>
                    <w:rPr>
                      <w:color w:val="FFFFFF" w:themeColor="background1"/>
                      <w:sz w:val="20"/>
                      <w:szCs w:val="20"/>
                    </w:rPr>
                  </w:pPr>
                  <w:r w:rsidRPr="007B399D">
                    <w:rPr>
                      <w:rFonts w:ascii="Calibri" w:eastAsia="Calibri" w:hAnsi="Calibri"/>
                      <w:b/>
                      <w:bCs/>
                      <w:color w:val="FFFFFF" w:themeColor="background1"/>
                      <w:sz w:val="20"/>
                      <w:szCs w:val="20"/>
                      <w:lang w:val="en-US"/>
                    </w:rPr>
                    <w:t>Scenarios</w:t>
                  </w:r>
                  <w:r w:rsidRPr="007B399D">
                    <w:rPr>
                      <w:rFonts w:ascii="Calibri" w:eastAsia="Calibri" w:hAnsi="Calibri"/>
                      <w:b/>
                      <w:bCs/>
                      <w:color w:val="FFFFFF" w:themeColor="background1"/>
                      <w:sz w:val="20"/>
                      <w:szCs w:val="20"/>
                    </w:rPr>
                    <w:t xml:space="preserve"> </w:t>
                  </w:r>
                </w:p>
              </w:tc>
              <w:tc>
                <w:tcPr>
                  <w:tcW w:w="3682" w:type="dxa"/>
                  <w:shd w:val="clear" w:color="auto" w:fill="1F497D"/>
                  <w:tcMar>
                    <w:top w:w="57" w:type="dxa"/>
                    <w:bottom w:w="57" w:type="dxa"/>
                  </w:tcMar>
                </w:tcPr>
                <w:p w14:paraId="6DF0B3EC" w14:textId="2C1DEBD0" w:rsidR="007A4E79" w:rsidRPr="007B399D" w:rsidRDefault="007A4E79" w:rsidP="000D5C30">
                  <w:pPr>
                    <w:jc w:val="both"/>
                    <w:rPr>
                      <w:color w:val="FFFFFF" w:themeColor="background1"/>
                      <w:sz w:val="20"/>
                      <w:szCs w:val="20"/>
                    </w:rPr>
                  </w:pPr>
                </w:p>
              </w:tc>
              <w:tc>
                <w:tcPr>
                  <w:tcW w:w="2412" w:type="dxa"/>
                  <w:shd w:val="clear" w:color="auto" w:fill="1F497D"/>
                  <w:tcMar>
                    <w:top w:w="57" w:type="dxa"/>
                    <w:bottom w:w="57" w:type="dxa"/>
                  </w:tcMar>
                </w:tcPr>
                <w:p w14:paraId="463346D1" w14:textId="2EFCB2FE" w:rsidR="007A4E79" w:rsidRPr="007B399D" w:rsidRDefault="007A4E79" w:rsidP="000D5C30">
                  <w:pPr>
                    <w:jc w:val="center"/>
                    <w:rPr>
                      <w:color w:val="FFFFFF" w:themeColor="background1"/>
                      <w:sz w:val="20"/>
                      <w:szCs w:val="20"/>
                      <w:lang w:val="en-US"/>
                    </w:rPr>
                  </w:pPr>
                </w:p>
              </w:tc>
              <w:tc>
                <w:tcPr>
                  <w:tcW w:w="2271" w:type="dxa"/>
                  <w:shd w:val="clear" w:color="auto" w:fill="1F497D"/>
                  <w:tcMar>
                    <w:top w:w="57" w:type="dxa"/>
                    <w:bottom w:w="57" w:type="dxa"/>
                  </w:tcMar>
                </w:tcPr>
                <w:p w14:paraId="383090ED" w14:textId="08CCAC5A" w:rsidR="007A4E79" w:rsidRPr="007B399D" w:rsidRDefault="007A4E79" w:rsidP="000D5C30">
                  <w:pPr>
                    <w:jc w:val="center"/>
                    <w:rPr>
                      <w:color w:val="FFFFFF" w:themeColor="background1"/>
                      <w:sz w:val="20"/>
                      <w:szCs w:val="20"/>
                      <w:lang w:val="en-US"/>
                    </w:rPr>
                  </w:pPr>
                </w:p>
              </w:tc>
            </w:tr>
            <w:tr w:rsidR="007A4E79" w:rsidRPr="001F3C78" w14:paraId="7B5B687F" w14:textId="77777777" w:rsidTr="009521EC">
              <w:trPr>
                <w:trHeight w:val="500"/>
              </w:trPr>
              <w:tc>
                <w:tcPr>
                  <w:tcW w:w="2834" w:type="dxa"/>
                </w:tcPr>
                <w:p w14:paraId="094FD0EC" w14:textId="77777777" w:rsidR="007A4E79" w:rsidRPr="007B399D" w:rsidRDefault="007A4E79" w:rsidP="000D5C30">
                  <w:pPr>
                    <w:rPr>
                      <w:rFonts w:ascii="Calibri" w:eastAsia="Calibri" w:hAnsi="Calibri"/>
                      <w:b/>
                      <w:bCs/>
                      <w:sz w:val="18"/>
                      <w:szCs w:val="18"/>
                      <w:lang w:val="en-US"/>
                    </w:rPr>
                  </w:pPr>
                </w:p>
                <w:p w14:paraId="4EA06480" w14:textId="560E9D17" w:rsidR="007A4E79" w:rsidRPr="007B399D" w:rsidRDefault="007A4E79" w:rsidP="000D5C30">
                  <w:pPr>
                    <w:rPr>
                      <w:rFonts w:ascii="Calibri" w:eastAsia="Calibri" w:hAnsi="Calibri"/>
                      <w:b/>
                      <w:bCs/>
                      <w:sz w:val="18"/>
                      <w:szCs w:val="18"/>
                    </w:rPr>
                  </w:pPr>
                  <w:r w:rsidRPr="007B399D">
                    <w:rPr>
                      <w:rFonts w:ascii="Calibri" w:eastAsia="Calibri" w:hAnsi="Calibri"/>
                      <w:b/>
                      <w:bCs/>
                      <w:sz w:val="18"/>
                      <w:szCs w:val="18"/>
                      <w:lang w:val="en-US"/>
                    </w:rPr>
                    <w:t>Minimum</w:t>
                  </w:r>
                </w:p>
              </w:tc>
              <w:tc>
                <w:tcPr>
                  <w:tcW w:w="8365" w:type="dxa"/>
                  <w:gridSpan w:val="3"/>
                </w:tcPr>
                <w:p w14:paraId="3CC7B2EC" w14:textId="6915C20E" w:rsidR="00884464" w:rsidRDefault="00884464" w:rsidP="00A75D13">
                  <w:pPr>
                    <w:jc w:val="both"/>
                    <w:rPr>
                      <w:rFonts w:ascii="Calibri" w:eastAsia="Calibri" w:hAnsi="Calibri"/>
                      <w:color w:val="FF0000"/>
                      <w:sz w:val="18"/>
                      <w:szCs w:val="18"/>
                      <w:lang w:val="en-US"/>
                    </w:rPr>
                  </w:pPr>
                </w:p>
                <w:p w14:paraId="7A3C6E2B" w14:textId="5427D103" w:rsidR="007A4E79" w:rsidRPr="007B399D" w:rsidRDefault="00A75D13" w:rsidP="00A75D13">
                  <w:pPr>
                    <w:jc w:val="both"/>
                    <w:rPr>
                      <w:rFonts w:ascii="Calibri" w:eastAsia="Calibri" w:hAnsi="Calibri"/>
                      <w:sz w:val="18"/>
                      <w:szCs w:val="18"/>
                      <w:lang w:val="en-US"/>
                    </w:rPr>
                  </w:pPr>
                  <w:r w:rsidRPr="00884464">
                    <w:rPr>
                      <w:rFonts w:ascii="Calibri" w:eastAsia="Calibri" w:hAnsi="Calibri"/>
                      <w:sz w:val="18"/>
                      <w:szCs w:val="18"/>
                      <w:lang w:val="en-US"/>
                    </w:rPr>
                    <w:t xml:space="preserve">You could lose some or all of your investment.                                                              </w:t>
                  </w:r>
                  <w:r w:rsidR="00EA0BD7">
                    <w:rPr>
                      <w:rFonts w:ascii="Calibri" w:eastAsia="Calibri" w:hAnsi="Calibri"/>
                      <w:sz w:val="18"/>
                      <w:szCs w:val="18"/>
                      <w:lang w:val="en-US"/>
                    </w:rPr>
                    <w:tab/>
                  </w:r>
                  <w:r>
                    <w:rPr>
                      <w:rFonts w:ascii="Calibri" w:eastAsia="Calibri" w:hAnsi="Calibri"/>
                      <w:sz w:val="18"/>
                      <w:szCs w:val="18"/>
                      <w:lang w:val="en-US"/>
                    </w:rPr>
                    <w:t xml:space="preserve">          </w:t>
                  </w:r>
                </w:p>
              </w:tc>
            </w:tr>
            <w:tr w:rsidR="0015116D" w:rsidRPr="00F44448" w14:paraId="5490DD2B" w14:textId="77777777" w:rsidTr="00D809F5">
              <w:trPr>
                <w:trHeight w:val="291"/>
              </w:trPr>
              <w:tc>
                <w:tcPr>
                  <w:tcW w:w="2834" w:type="dxa"/>
                  <w:vMerge w:val="restart"/>
                </w:tcPr>
                <w:p w14:paraId="587F3E49" w14:textId="77777777" w:rsidR="0015116D" w:rsidRPr="007B399D" w:rsidRDefault="0015116D" w:rsidP="0015116D">
                  <w:pPr>
                    <w:rPr>
                      <w:rFonts w:ascii="Calibri" w:eastAsia="Calibri" w:hAnsi="Calibri"/>
                      <w:b/>
                      <w:bCs/>
                      <w:sz w:val="18"/>
                      <w:szCs w:val="18"/>
                      <w:lang w:val="en-US"/>
                    </w:rPr>
                  </w:pPr>
                </w:p>
                <w:p w14:paraId="222691A3" w14:textId="24855681" w:rsidR="0015116D" w:rsidRPr="007B399D" w:rsidRDefault="0015116D" w:rsidP="0015116D">
                  <w:pPr>
                    <w:rPr>
                      <w:sz w:val="18"/>
                      <w:szCs w:val="18"/>
                    </w:rPr>
                  </w:pPr>
                  <w:r w:rsidRPr="007B399D">
                    <w:rPr>
                      <w:rFonts w:ascii="Calibri" w:eastAsia="Calibri" w:hAnsi="Calibri"/>
                      <w:b/>
                      <w:bCs/>
                      <w:sz w:val="18"/>
                      <w:szCs w:val="18"/>
                      <w:lang w:val="en-US"/>
                    </w:rPr>
                    <w:t>Stress</w:t>
                  </w:r>
                </w:p>
              </w:tc>
              <w:tc>
                <w:tcPr>
                  <w:tcW w:w="3682" w:type="dxa"/>
                  <w:vMerge w:val="restart"/>
                </w:tcPr>
                <w:p w14:paraId="63AADD6D" w14:textId="79F586F5" w:rsidR="0015116D" w:rsidRPr="007B399D" w:rsidRDefault="0015116D" w:rsidP="0015116D">
                  <w:pPr>
                    <w:spacing w:line="360" w:lineRule="auto"/>
                    <w:jc w:val="both"/>
                    <w:rPr>
                      <w:rFonts w:ascii="Calibri" w:eastAsia="Calibri" w:hAnsi="Calibri"/>
                      <w:sz w:val="18"/>
                      <w:szCs w:val="18"/>
                      <w:lang w:val="en-US"/>
                    </w:rPr>
                  </w:pPr>
                  <w:r w:rsidRPr="007B399D">
                    <w:rPr>
                      <w:rFonts w:ascii="Calibri" w:eastAsia="Calibri" w:hAnsi="Calibri"/>
                      <w:sz w:val="18"/>
                      <w:szCs w:val="18"/>
                      <w:lang w:val="en-US"/>
                    </w:rPr>
                    <w:t>What you might get back after costs</w:t>
                  </w:r>
                </w:p>
                <w:p w14:paraId="728AD30A" w14:textId="2CFD9B21" w:rsidR="0015116D" w:rsidRPr="007B399D" w:rsidRDefault="0015116D" w:rsidP="0015116D">
                  <w:pPr>
                    <w:spacing w:line="360" w:lineRule="auto"/>
                    <w:jc w:val="both"/>
                    <w:rPr>
                      <w:sz w:val="18"/>
                      <w:szCs w:val="18"/>
                      <w:lang w:val="en-US"/>
                    </w:rPr>
                  </w:pPr>
                  <w:r w:rsidRPr="007B399D">
                    <w:rPr>
                      <w:rFonts w:ascii="Calibri" w:eastAsia="Calibri" w:hAnsi="Calibri"/>
                      <w:sz w:val="18"/>
                      <w:szCs w:val="18"/>
                      <w:lang w:val="en-US"/>
                    </w:rPr>
                    <w:t>Average return of each year</w:t>
                  </w:r>
                </w:p>
              </w:tc>
              <w:tc>
                <w:tcPr>
                  <w:tcW w:w="2412" w:type="dxa"/>
                  <w:vAlign w:val="center"/>
                </w:tcPr>
                <w:p w14:paraId="52CF1B98" w14:textId="40F86968" w:rsidR="0015116D" w:rsidRPr="00B60784"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7.950 €</w:t>
                  </w:r>
                </w:p>
              </w:tc>
              <w:tc>
                <w:tcPr>
                  <w:tcW w:w="2271" w:type="dxa"/>
                  <w:vAlign w:val="center"/>
                </w:tcPr>
                <w:p w14:paraId="6E6284E3" w14:textId="22290F57" w:rsidR="0015116D" w:rsidRPr="0015116D"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5.290 €</w:t>
                  </w:r>
                </w:p>
              </w:tc>
            </w:tr>
            <w:tr w:rsidR="0015116D" w:rsidRPr="00F44448" w14:paraId="42CFD4A6" w14:textId="77777777" w:rsidTr="00D809F5">
              <w:tc>
                <w:tcPr>
                  <w:tcW w:w="2834" w:type="dxa"/>
                  <w:vMerge/>
                </w:tcPr>
                <w:p w14:paraId="54819941" w14:textId="77777777" w:rsidR="0015116D" w:rsidRPr="007B399D" w:rsidRDefault="0015116D" w:rsidP="0015116D">
                  <w:pPr>
                    <w:rPr>
                      <w:sz w:val="18"/>
                      <w:szCs w:val="18"/>
                    </w:rPr>
                  </w:pPr>
                </w:p>
              </w:tc>
              <w:tc>
                <w:tcPr>
                  <w:tcW w:w="3682" w:type="dxa"/>
                  <w:vMerge/>
                </w:tcPr>
                <w:p w14:paraId="0AE13C44" w14:textId="77777777" w:rsidR="0015116D" w:rsidRPr="007B399D" w:rsidRDefault="0015116D" w:rsidP="0015116D">
                  <w:pPr>
                    <w:spacing w:line="360" w:lineRule="auto"/>
                    <w:jc w:val="both"/>
                    <w:rPr>
                      <w:sz w:val="18"/>
                      <w:szCs w:val="18"/>
                    </w:rPr>
                  </w:pPr>
                </w:p>
              </w:tc>
              <w:tc>
                <w:tcPr>
                  <w:tcW w:w="2412" w:type="dxa"/>
                  <w:vAlign w:val="center"/>
                </w:tcPr>
                <w:p w14:paraId="7DD1B485" w14:textId="6B2F38B1" w:rsidR="0015116D" w:rsidRPr="00B60784"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-20,5%</w:t>
                  </w:r>
                </w:p>
              </w:tc>
              <w:tc>
                <w:tcPr>
                  <w:tcW w:w="2271" w:type="dxa"/>
                  <w:vAlign w:val="center"/>
                </w:tcPr>
                <w:p w14:paraId="71075EE1" w14:textId="1A5F94F0" w:rsidR="0015116D" w:rsidRPr="0015116D"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-11,9%</w:t>
                  </w:r>
                </w:p>
              </w:tc>
            </w:tr>
            <w:tr w:rsidR="0015116D" w:rsidRPr="00F44448" w14:paraId="2B77BEDE" w14:textId="77777777" w:rsidTr="00D809F5">
              <w:trPr>
                <w:trHeight w:val="351"/>
              </w:trPr>
              <w:tc>
                <w:tcPr>
                  <w:tcW w:w="2834" w:type="dxa"/>
                  <w:vMerge w:val="restart"/>
                </w:tcPr>
                <w:p w14:paraId="02067C26" w14:textId="77777777" w:rsidR="0015116D" w:rsidRPr="007B399D" w:rsidRDefault="0015116D" w:rsidP="0015116D">
                  <w:pPr>
                    <w:rPr>
                      <w:rFonts w:ascii="Calibri" w:eastAsia="Calibri" w:hAnsi="Calibri"/>
                      <w:b/>
                      <w:bCs/>
                      <w:sz w:val="18"/>
                      <w:szCs w:val="18"/>
                    </w:rPr>
                  </w:pPr>
                </w:p>
                <w:p w14:paraId="239B5187" w14:textId="4DD55E06" w:rsidR="0015116D" w:rsidRPr="007B399D" w:rsidRDefault="0015116D" w:rsidP="0015116D">
                  <w:pPr>
                    <w:rPr>
                      <w:sz w:val="18"/>
                      <w:szCs w:val="18"/>
                    </w:rPr>
                  </w:pPr>
                  <w:r w:rsidRPr="007B399D">
                    <w:rPr>
                      <w:rFonts w:ascii="Calibri" w:eastAsia="Calibri" w:hAnsi="Calibri"/>
                      <w:b/>
                      <w:bCs/>
                      <w:sz w:val="18"/>
                      <w:szCs w:val="18"/>
                      <w:lang w:val="en-US"/>
                    </w:rPr>
                    <w:t>Unfavourable</w:t>
                  </w:r>
                </w:p>
              </w:tc>
              <w:tc>
                <w:tcPr>
                  <w:tcW w:w="3682" w:type="dxa"/>
                  <w:vMerge w:val="restart"/>
                </w:tcPr>
                <w:p w14:paraId="47AC5030" w14:textId="3CF1E464" w:rsidR="0015116D" w:rsidRPr="007B399D" w:rsidRDefault="0015116D" w:rsidP="0015116D">
                  <w:pPr>
                    <w:spacing w:line="360" w:lineRule="auto"/>
                    <w:jc w:val="both"/>
                    <w:rPr>
                      <w:rFonts w:ascii="Calibri" w:eastAsia="Calibri" w:hAnsi="Calibri"/>
                      <w:sz w:val="18"/>
                      <w:szCs w:val="18"/>
                      <w:lang w:val="en-US"/>
                    </w:rPr>
                  </w:pPr>
                  <w:r w:rsidRPr="007B399D">
                    <w:rPr>
                      <w:rFonts w:ascii="Calibri" w:eastAsia="Calibri" w:hAnsi="Calibri"/>
                      <w:sz w:val="18"/>
                      <w:szCs w:val="18"/>
                      <w:lang w:val="en-US"/>
                    </w:rPr>
                    <w:t>What you might get back after costs</w:t>
                  </w:r>
                </w:p>
                <w:p w14:paraId="6A5875E6" w14:textId="388D23AB" w:rsidR="0015116D" w:rsidRPr="007B399D" w:rsidRDefault="0015116D" w:rsidP="0015116D">
                  <w:pPr>
                    <w:spacing w:line="360" w:lineRule="auto"/>
                    <w:jc w:val="both"/>
                    <w:rPr>
                      <w:sz w:val="18"/>
                      <w:szCs w:val="18"/>
                      <w:lang w:val="en-US"/>
                    </w:rPr>
                  </w:pPr>
                  <w:r w:rsidRPr="007B399D">
                    <w:rPr>
                      <w:rFonts w:ascii="Calibri" w:eastAsia="Calibri" w:hAnsi="Calibri"/>
                      <w:sz w:val="18"/>
                      <w:szCs w:val="18"/>
                      <w:lang w:val="en-US"/>
                    </w:rPr>
                    <w:t>Average return of each year</w:t>
                  </w:r>
                </w:p>
              </w:tc>
              <w:tc>
                <w:tcPr>
                  <w:tcW w:w="2412" w:type="dxa"/>
                  <w:vAlign w:val="center"/>
                </w:tcPr>
                <w:p w14:paraId="5EAFD816" w14:textId="20DC62DB" w:rsidR="0015116D" w:rsidRPr="00B60784"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9.310 €</w:t>
                  </w:r>
                </w:p>
              </w:tc>
              <w:tc>
                <w:tcPr>
                  <w:tcW w:w="2271" w:type="dxa"/>
                  <w:vAlign w:val="center"/>
                </w:tcPr>
                <w:p w14:paraId="1B01B489" w14:textId="6A9810CD" w:rsidR="0015116D" w:rsidRPr="0015116D"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8.410 €</w:t>
                  </w:r>
                </w:p>
              </w:tc>
            </w:tr>
            <w:tr w:rsidR="0015116D" w:rsidRPr="00F44448" w14:paraId="0870F0DA" w14:textId="77777777" w:rsidTr="00D809F5">
              <w:tc>
                <w:tcPr>
                  <w:tcW w:w="2834" w:type="dxa"/>
                  <w:vMerge/>
                </w:tcPr>
                <w:p w14:paraId="2BE20EFC" w14:textId="77777777" w:rsidR="0015116D" w:rsidRPr="007B399D" w:rsidRDefault="0015116D" w:rsidP="0015116D">
                  <w:pPr>
                    <w:rPr>
                      <w:sz w:val="18"/>
                      <w:szCs w:val="18"/>
                    </w:rPr>
                  </w:pPr>
                </w:p>
              </w:tc>
              <w:tc>
                <w:tcPr>
                  <w:tcW w:w="3682" w:type="dxa"/>
                  <w:vMerge/>
                </w:tcPr>
                <w:p w14:paraId="1A65A633" w14:textId="77777777" w:rsidR="0015116D" w:rsidRPr="007B399D" w:rsidRDefault="0015116D" w:rsidP="0015116D">
                  <w:pPr>
                    <w:spacing w:line="360" w:lineRule="auto"/>
                    <w:jc w:val="both"/>
                    <w:rPr>
                      <w:sz w:val="18"/>
                      <w:szCs w:val="18"/>
                    </w:rPr>
                  </w:pPr>
                </w:p>
              </w:tc>
              <w:tc>
                <w:tcPr>
                  <w:tcW w:w="2412" w:type="dxa"/>
                  <w:vAlign w:val="center"/>
                </w:tcPr>
                <w:p w14:paraId="48A5C566" w14:textId="5F6FE322" w:rsidR="0015116D" w:rsidRPr="00B60784"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-6,9%</w:t>
                  </w:r>
                </w:p>
              </w:tc>
              <w:tc>
                <w:tcPr>
                  <w:tcW w:w="2271" w:type="dxa"/>
                  <w:vAlign w:val="center"/>
                </w:tcPr>
                <w:p w14:paraId="1A92AFDA" w14:textId="5A3D0129" w:rsidR="0015116D" w:rsidRPr="0015116D"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-3,4%</w:t>
                  </w:r>
                </w:p>
              </w:tc>
            </w:tr>
            <w:tr w:rsidR="0015116D" w:rsidRPr="00F44448" w14:paraId="1B5D551A" w14:textId="77777777" w:rsidTr="00D809F5">
              <w:trPr>
                <w:trHeight w:val="330"/>
              </w:trPr>
              <w:tc>
                <w:tcPr>
                  <w:tcW w:w="2834" w:type="dxa"/>
                  <w:vMerge w:val="restart"/>
                </w:tcPr>
                <w:p w14:paraId="3F146F82" w14:textId="77777777" w:rsidR="0015116D" w:rsidRPr="007B399D" w:rsidRDefault="0015116D" w:rsidP="0015116D">
                  <w:pPr>
                    <w:rPr>
                      <w:rFonts w:ascii="Calibri" w:eastAsia="Calibri" w:hAnsi="Calibri"/>
                      <w:b/>
                      <w:bCs/>
                      <w:sz w:val="18"/>
                      <w:szCs w:val="18"/>
                    </w:rPr>
                  </w:pPr>
                </w:p>
                <w:p w14:paraId="473BBC20" w14:textId="0E06A632" w:rsidR="0015116D" w:rsidRPr="007B399D" w:rsidRDefault="0015116D" w:rsidP="0015116D">
                  <w:pPr>
                    <w:rPr>
                      <w:sz w:val="18"/>
                      <w:szCs w:val="18"/>
                    </w:rPr>
                  </w:pPr>
                  <w:r w:rsidRPr="007B399D">
                    <w:rPr>
                      <w:rFonts w:ascii="Calibri" w:eastAsia="Calibri" w:hAnsi="Calibri"/>
                      <w:b/>
                      <w:bCs/>
                      <w:sz w:val="18"/>
                      <w:szCs w:val="18"/>
                      <w:lang w:val="en-US"/>
                    </w:rPr>
                    <w:t>Moderate</w:t>
                  </w:r>
                </w:p>
              </w:tc>
              <w:tc>
                <w:tcPr>
                  <w:tcW w:w="3682" w:type="dxa"/>
                  <w:vMerge w:val="restart"/>
                </w:tcPr>
                <w:p w14:paraId="6589B65F" w14:textId="77777777" w:rsidR="0015116D" w:rsidRPr="007B399D" w:rsidRDefault="0015116D" w:rsidP="0015116D">
                  <w:pPr>
                    <w:spacing w:line="360" w:lineRule="auto"/>
                    <w:jc w:val="both"/>
                    <w:rPr>
                      <w:rFonts w:ascii="Calibri" w:eastAsia="Calibri" w:hAnsi="Calibri"/>
                      <w:sz w:val="18"/>
                      <w:szCs w:val="18"/>
                      <w:lang w:val="en-US"/>
                    </w:rPr>
                  </w:pPr>
                  <w:r w:rsidRPr="007B399D">
                    <w:rPr>
                      <w:rFonts w:ascii="Calibri" w:eastAsia="Calibri" w:hAnsi="Calibri"/>
                      <w:sz w:val="18"/>
                      <w:szCs w:val="18"/>
                      <w:lang w:val="en-US"/>
                    </w:rPr>
                    <w:t>What you might get back after costs</w:t>
                  </w:r>
                </w:p>
                <w:p w14:paraId="58624ECD" w14:textId="6F2652B2" w:rsidR="0015116D" w:rsidRPr="007B399D" w:rsidRDefault="0015116D" w:rsidP="0015116D">
                  <w:pPr>
                    <w:spacing w:line="360" w:lineRule="auto"/>
                    <w:jc w:val="both"/>
                    <w:rPr>
                      <w:sz w:val="18"/>
                      <w:szCs w:val="18"/>
                      <w:lang w:val="en-US"/>
                    </w:rPr>
                  </w:pPr>
                  <w:r w:rsidRPr="007B399D">
                    <w:rPr>
                      <w:rFonts w:ascii="Calibri" w:eastAsia="Calibri" w:hAnsi="Calibri"/>
                      <w:sz w:val="18"/>
                      <w:szCs w:val="18"/>
                      <w:lang w:val="en-US"/>
                    </w:rPr>
                    <w:t xml:space="preserve">Average return of each year </w:t>
                  </w:r>
                </w:p>
              </w:tc>
              <w:tc>
                <w:tcPr>
                  <w:tcW w:w="2412" w:type="dxa"/>
                  <w:vAlign w:val="center"/>
                </w:tcPr>
                <w:p w14:paraId="4E75F50D" w14:textId="037091E5" w:rsidR="0015116D" w:rsidRPr="00B60784"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9.600 €</w:t>
                  </w:r>
                </w:p>
              </w:tc>
              <w:tc>
                <w:tcPr>
                  <w:tcW w:w="2271" w:type="dxa"/>
                  <w:vAlign w:val="center"/>
                </w:tcPr>
                <w:p w14:paraId="1E46C0C0" w14:textId="66128535" w:rsidR="0015116D" w:rsidRPr="0015116D"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11.170 €</w:t>
                  </w:r>
                </w:p>
              </w:tc>
            </w:tr>
            <w:tr w:rsidR="0015116D" w:rsidRPr="00F44448" w14:paraId="7CB5C0E4" w14:textId="77777777" w:rsidTr="00D809F5">
              <w:tc>
                <w:tcPr>
                  <w:tcW w:w="2834" w:type="dxa"/>
                  <w:vMerge/>
                </w:tcPr>
                <w:p w14:paraId="669687A2" w14:textId="77777777" w:rsidR="0015116D" w:rsidRPr="007B399D" w:rsidRDefault="0015116D" w:rsidP="0015116D">
                  <w:pPr>
                    <w:rPr>
                      <w:sz w:val="18"/>
                      <w:szCs w:val="18"/>
                    </w:rPr>
                  </w:pPr>
                </w:p>
              </w:tc>
              <w:tc>
                <w:tcPr>
                  <w:tcW w:w="3682" w:type="dxa"/>
                  <w:vMerge/>
                </w:tcPr>
                <w:p w14:paraId="37DE2CBE" w14:textId="77777777" w:rsidR="0015116D" w:rsidRPr="007B399D" w:rsidRDefault="0015116D" w:rsidP="0015116D">
                  <w:pPr>
                    <w:spacing w:line="360" w:lineRule="auto"/>
                    <w:jc w:val="both"/>
                    <w:rPr>
                      <w:sz w:val="18"/>
                      <w:szCs w:val="18"/>
                    </w:rPr>
                  </w:pPr>
                </w:p>
              </w:tc>
              <w:tc>
                <w:tcPr>
                  <w:tcW w:w="2412" w:type="dxa"/>
                  <w:vAlign w:val="center"/>
                </w:tcPr>
                <w:p w14:paraId="61673529" w14:textId="74AECE5E" w:rsidR="0015116D" w:rsidRPr="00B60784"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-4,0%</w:t>
                  </w:r>
                </w:p>
              </w:tc>
              <w:tc>
                <w:tcPr>
                  <w:tcW w:w="2271" w:type="dxa"/>
                  <w:vAlign w:val="center"/>
                </w:tcPr>
                <w:p w14:paraId="4F6F5251" w14:textId="16A0722F" w:rsidR="0015116D" w:rsidRPr="0015116D"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2,2%</w:t>
                  </w:r>
                </w:p>
              </w:tc>
            </w:tr>
            <w:tr w:rsidR="0015116D" w:rsidRPr="005A7FDE" w14:paraId="0F895A81" w14:textId="77777777" w:rsidTr="00D809F5">
              <w:trPr>
                <w:trHeight w:val="310"/>
              </w:trPr>
              <w:tc>
                <w:tcPr>
                  <w:tcW w:w="2834" w:type="dxa"/>
                  <w:vMerge w:val="restart"/>
                </w:tcPr>
                <w:p w14:paraId="37F1B7F5" w14:textId="77777777" w:rsidR="0015116D" w:rsidRPr="007B399D" w:rsidRDefault="0015116D" w:rsidP="0015116D">
                  <w:pPr>
                    <w:rPr>
                      <w:rFonts w:ascii="Calibri" w:eastAsia="Calibri" w:hAnsi="Calibri"/>
                      <w:b/>
                      <w:bCs/>
                      <w:sz w:val="18"/>
                      <w:szCs w:val="18"/>
                    </w:rPr>
                  </w:pPr>
                </w:p>
                <w:p w14:paraId="57060CA2" w14:textId="4F2AF6DD" w:rsidR="0015116D" w:rsidRPr="007B399D" w:rsidRDefault="0015116D" w:rsidP="0015116D">
                  <w:pPr>
                    <w:rPr>
                      <w:sz w:val="18"/>
                      <w:szCs w:val="18"/>
                    </w:rPr>
                  </w:pPr>
                  <w:r w:rsidRPr="007B399D">
                    <w:rPr>
                      <w:rFonts w:ascii="Calibri" w:eastAsia="Calibri" w:hAnsi="Calibri"/>
                      <w:b/>
                      <w:bCs/>
                      <w:sz w:val="18"/>
                      <w:szCs w:val="18"/>
                      <w:lang w:val="en-US"/>
                    </w:rPr>
                    <w:t>Favourable</w:t>
                  </w:r>
                </w:p>
              </w:tc>
              <w:tc>
                <w:tcPr>
                  <w:tcW w:w="3682" w:type="dxa"/>
                  <w:vMerge w:val="restart"/>
                </w:tcPr>
                <w:p w14:paraId="16059F56" w14:textId="77777777" w:rsidR="0015116D" w:rsidRPr="007B399D" w:rsidRDefault="0015116D" w:rsidP="0015116D">
                  <w:pPr>
                    <w:spacing w:line="360" w:lineRule="auto"/>
                    <w:jc w:val="both"/>
                    <w:rPr>
                      <w:rFonts w:ascii="Calibri" w:eastAsia="Calibri" w:hAnsi="Calibri"/>
                      <w:sz w:val="18"/>
                      <w:szCs w:val="18"/>
                      <w:lang w:val="en-US"/>
                    </w:rPr>
                  </w:pPr>
                  <w:r w:rsidRPr="007B399D">
                    <w:rPr>
                      <w:rFonts w:ascii="Calibri" w:eastAsia="Calibri" w:hAnsi="Calibri"/>
                      <w:sz w:val="18"/>
                      <w:szCs w:val="18"/>
                      <w:lang w:val="en-US"/>
                    </w:rPr>
                    <w:t>What you might get back after costs</w:t>
                  </w:r>
                </w:p>
                <w:p w14:paraId="394740BD" w14:textId="70BE5359" w:rsidR="0015116D" w:rsidRPr="007B399D" w:rsidRDefault="0015116D" w:rsidP="0015116D">
                  <w:pPr>
                    <w:spacing w:line="360" w:lineRule="auto"/>
                    <w:jc w:val="both"/>
                    <w:rPr>
                      <w:rFonts w:ascii="Calibri" w:eastAsia="Calibri" w:hAnsi="Calibri"/>
                      <w:sz w:val="18"/>
                      <w:szCs w:val="18"/>
                      <w:lang w:val="en-US"/>
                    </w:rPr>
                  </w:pPr>
                  <w:r w:rsidRPr="007B399D">
                    <w:rPr>
                      <w:rFonts w:ascii="Calibri" w:eastAsia="Calibri" w:hAnsi="Calibri"/>
                      <w:sz w:val="18"/>
                      <w:szCs w:val="18"/>
                      <w:lang w:val="en-US"/>
                    </w:rPr>
                    <w:t>Average return of each year</w:t>
                  </w:r>
                </w:p>
              </w:tc>
              <w:tc>
                <w:tcPr>
                  <w:tcW w:w="2412" w:type="dxa"/>
                  <w:vAlign w:val="center"/>
                </w:tcPr>
                <w:p w14:paraId="7D8B781C" w14:textId="52C815B1" w:rsidR="0015116D" w:rsidRPr="00B60784"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10.130 €</w:t>
                  </w:r>
                </w:p>
              </w:tc>
              <w:tc>
                <w:tcPr>
                  <w:tcW w:w="2271" w:type="dxa"/>
                  <w:vAlign w:val="center"/>
                </w:tcPr>
                <w:p w14:paraId="6A8BC820" w14:textId="25270096" w:rsidR="0015116D" w:rsidRPr="0015116D"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12.750 €</w:t>
                  </w:r>
                </w:p>
              </w:tc>
            </w:tr>
            <w:tr w:rsidR="0015116D" w:rsidRPr="005A7FDE" w14:paraId="27C549A3" w14:textId="77777777" w:rsidTr="009521EC">
              <w:tc>
                <w:tcPr>
                  <w:tcW w:w="2834" w:type="dxa"/>
                  <w:vMerge/>
                </w:tcPr>
                <w:p w14:paraId="2361C967" w14:textId="77777777" w:rsidR="0015116D" w:rsidRPr="007B399D" w:rsidRDefault="0015116D" w:rsidP="0015116D">
                  <w:pPr>
                    <w:jc w:val="both"/>
                    <w:rPr>
                      <w:sz w:val="18"/>
                      <w:szCs w:val="18"/>
                      <w:lang w:val="en-US"/>
                    </w:rPr>
                  </w:pPr>
                </w:p>
              </w:tc>
              <w:tc>
                <w:tcPr>
                  <w:tcW w:w="3682" w:type="dxa"/>
                  <w:vMerge/>
                </w:tcPr>
                <w:p w14:paraId="79783348" w14:textId="77777777" w:rsidR="0015116D" w:rsidRPr="007B399D" w:rsidRDefault="0015116D" w:rsidP="0015116D">
                  <w:pPr>
                    <w:spacing w:line="360" w:lineRule="auto"/>
                    <w:jc w:val="both"/>
                    <w:rPr>
                      <w:rFonts w:ascii="Calibri" w:eastAsia="Calibri" w:hAnsi="Calibri"/>
                      <w:sz w:val="18"/>
                      <w:szCs w:val="18"/>
                      <w:lang w:val="en-US"/>
                    </w:rPr>
                  </w:pPr>
                </w:p>
              </w:tc>
              <w:tc>
                <w:tcPr>
                  <w:tcW w:w="2412" w:type="dxa"/>
                  <w:vAlign w:val="center"/>
                </w:tcPr>
                <w:p w14:paraId="13543A35" w14:textId="3217154E" w:rsidR="0015116D" w:rsidRPr="00B60784"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1,3%</w:t>
                  </w:r>
                </w:p>
              </w:tc>
              <w:tc>
                <w:tcPr>
                  <w:tcW w:w="2271" w:type="dxa"/>
                  <w:vAlign w:val="center"/>
                </w:tcPr>
                <w:p w14:paraId="2149D035" w14:textId="2A62656F" w:rsidR="0015116D" w:rsidRPr="0015116D" w:rsidRDefault="0015116D" w:rsidP="0015116D">
                  <w:pPr>
                    <w:spacing w:line="360" w:lineRule="auto"/>
                    <w:jc w:val="right"/>
                    <w:rPr>
                      <w:rFonts w:ascii="Calibri" w:hAnsi="Calibri" w:cs="Calibri"/>
                      <w:color w:val="000000"/>
                      <w:sz w:val="18"/>
                      <w:szCs w:val="18"/>
                    </w:rPr>
                  </w:pPr>
                  <w:r>
                    <w:rPr>
                      <w:rFonts w:ascii="Calibri" w:hAnsi="Calibri" w:cs="Calibri"/>
                      <w:color w:val="000000"/>
                      <w:sz w:val="18"/>
                      <w:szCs w:val="18"/>
                    </w:rPr>
                    <w:t>5,0%</w:t>
                  </w:r>
                </w:p>
              </w:tc>
            </w:tr>
          </w:tbl>
          <w:p w14:paraId="519FE699" w14:textId="77777777" w:rsidR="007A4E79" w:rsidRDefault="007A4E79" w:rsidP="000D5C30">
            <w:pPr>
              <w:spacing w:line="240" w:lineRule="atLeast"/>
              <w:jc w:val="both"/>
              <w:rPr>
                <w:sz w:val="18"/>
                <w:szCs w:val="18"/>
                <w:lang w:val="en-US"/>
              </w:rPr>
            </w:pPr>
          </w:p>
          <w:p w14:paraId="19EDA125" w14:textId="5B40D96D" w:rsidR="005E0D77" w:rsidRPr="00F95F7B" w:rsidRDefault="00D56F6A" w:rsidP="000D5C30">
            <w:pPr>
              <w:spacing w:line="240" w:lineRule="atLeast"/>
              <w:jc w:val="both"/>
              <w:rPr>
                <w:sz w:val="18"/>
                <w:szCs w:val="18"/>
                <w:lang w:val="en-US"/>
              </w:rPr>
            </w:pPr>
            <w:r w:rsidRPr="007B399D">
              <w:rPr>
                <w:sz w:val="18"/>
                <w:szCs w:val="18"/>
                <w:lang w:val="en-US"/>
              </w:rPr>
              <w:t xml:space="preserve">The figures shown include all the costs of the Fund itself </w:t>
            </w:r>
            <w:r w:rsidR="0005505C">
              <w:rPr>
                <w:sz w:val="18"/>
                <w:szCs w:val="18"/>
                <w:lang w:val="en-US"/>
              </w:rPr>
              <w:t xml:space="preserve">as well as the distribution costs you may pay to </w:t>
            </w:r>
            <w:r w:rsidR="0005505C" w:rsidRPr="002742AA">
              <w:rPr>
                <w:sz w:val="18"/>
                <w:szCs w:val="18"/>
                <w:lang w:val="en-US"/>
              </w:rPr>
              <w:t xml:space="preserve">your distributor. </w:t>
            </w:r>
            <w:r w:rsidR="0005505C">
              <w:rPr>
                <w:sz w:val="18"/>
                <w:szCs w:val="18"/>
                <w:lang w:val="en-US"/>
              </w:rPr>
              <w:t xml:space="preserve"> It may not include your advisor’s costs</w:t>
            </w:r>
            <w:r w:rsidRPr="007B399D">
              <w:rPr>
                <w:sz w:val="18"/>
                <w:szCs w:val="18"/>
                <w:lang w:val="en-US"/>
              </w:rPr>
              <w:t xml:space="preserve">. </w:t>
            </w:r>
            <w:r w:rsidRPr="0064469B">
              <w:rPr>
                <w:sz w:val="18"/>
                <w:szCs w:val="18"/>
                <w:lang w:val="en-US"/>
              </w:rPr>
              <w:t>The figures do not take into account your personal tax situation, which may also affect how much you get back. The stress scenario shows what you might get back in extreme market circumstances</w:t>
            </w:r>
            <w:r w:rsidR="00C80B38" w:rsidRPr="0064469B">
              <w:rPr>
                <w:sz w:val="18"/>
                <w:szCs w:val="18"/>
                <w:lang w:val="en-US"/>
              </w:rPr>
              <w:t xml:space="preserve">. </w:t>
            </w:r>
            <w:r w:rsidR="006A45C1" w:rsidRPr="0064469B">
              <w:rPr>
                <w:sz w:val="18"/>
                <w:szCs w:val="18"/>
                <w:lang w:val="en-US"/>
              </w:rPr>
              <w:t>The unfavourable</w:t>
            </w:r>
            <w:r w:rsidR="0064469B" w:rsidRPr="0064469B">
              <w:rPr>
                <w:sz w:val="18"/>
                <w:szCs w:val="18"/>
                <w:lang w:val="en-US"/>
              </w:rPr>
              <w:t>, moderate and favourable</w:t>
            </w:r>
            <w:r w:rsidR="006A45C1" w:rsidRPr="0064469B">
              <w:rPr>
                <w:sz w:val="18"/>
                <w:szCs w:val="18"/>
                <w:lang w:val="en-US"/>
              </w:rPr>
              <w:t xml:space="preserve"> scenario</w:t>
            </w:r>
            <w:r w:rsidR="0064469B" w:rsidRPr="0064469B">
              <w:rPr>
                <w:sz w:val="18"/>
                <w:szCs w:val="18"/>
                <w:lang w:val="en-US"/>
              </w:rPr>
              <w:t>s</w:t>
            </w:r>
            <w:r w:rsidR="006A45C1" w:rsidRPr="0064469B">
              <w:rPr>
                <w:sz w:val="18"/>
                <w:szCs w:val="18"/>
                <w:lang w:val="en-US"/>
              </w:rPr>
              <w:t xml:space="preserve"> </w:t>
            </w:r>
            <w:r w:rsidR="0064469B" w:rsidRPr="0064469B">
              <w:rPr>
                <w:sz w:val="18"/>
                <w:szCs w:val="18"/>
                <w:lang w:val="en-US"/>
              </w:rPr>
              <w:t>shown are illustrations and are derived from the analysis of 10,000 scenarios of the Fund's value.</w:t>
            </w:r>
          </w:p>
        </w:tc>
      </w:tr>
      <w:tr w:rsidR="00F95F7B" w:rsidRPr="0005505C" w14:paraId="292F53E7"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4"/>
            <w:tcBorders>
              <w:top w:val="nil"/>
              <w:left w:val="nil"/>
              <w:bottom w:val="nil"/>
              <w:right w:val="nil"/>
            </w:tcBorders>
          </w:tcPr>
          <w:p w14:paraId="0489DBB4" w14:textId="77777777" w:rsidR="007A4E79" w:rsidRDefault="007A4E79" w:rsidP="000D5C30">
            <w:pPr>
              <w:jc w:val="both"/>
              <w:rPr>
                <w:b/>
                <w:bCs/>
                <w:color w:val="1F497D"/>
                <w:lang w:val="en-US"/>
              </w:rPr>
            </w:pPr>
          </w:p>
          <w:p w14:paraId="4C7EAC22" w14:textId="2BC4BE0D" w:rsidR="00F95F7B" w:rsidRPr="004F0DCA" w:rsidRDefault="00F95F7B" w:rsidP="000D5C30">
            <w:pPr>
              <w:jc w:val="both"/>
              <w:rPr>
                <w:b/>
                <w:bCs/>
                <w:color w:val="1F497D"/>
                <w:lang w:val="en-US"/>
              </w:rPr>
            </w:pPr>
            <w:r>
              <w:rPr>
                <w:b/>
                <w:bCs/>
                <w:color w:val="1F497D"/>
                <w:lang w:val="en-US"/>
              </w:rPr>
              <w:lastRenderedPageBreak/>
              <w:t>What happens if the Company is unable to pay</w:t>
            </w:r>
            <w:r w:rsidR="00695AAD">
              <w:rPr>
                <w:b/>
                <w:bCs/>
                <w:color w:val="1F497D"/>
                <w:lang w:val="en-US"/>
              </w:rPr>
              <w:t xml:space="preserve"> </w:t>
            </w:r>
            <w:r>
              <w:rPr>
                <w:b/>
                <w:bCs/>
                <w:color w:val="1F497D"/>
                <w:lang w:val="en-US"/>
              </w:rPr>
              <w:t>out?</w:t>
            </w:r>
          </w:p>
          <w:p w14:paraId="70E08377" w14:textId="77777777" w:rsidR="00B62A36" w:rsidRPr="00640A71" w:rsidRDefault="00B62A36" w:rsidP="00B62A36">
            <w:pPr>
              <w:pStyle w:val="HTMLPreformatted"/>
              <w:jc w:val="both"/>
              <w:rPr>
                <w:sz w:val="18"/>
                <w:szCs w:val="18"/>
                <w:lang w:val="en-US"/>
              </w:rPr>
            </w:pPr>
            <w:r w:rsidRPr="00AE7598">
              <w:rPr>
                <w:rFonts w:asciiTheme="minorHAnsi" w:hAnsiTheme="minorHAnsi" w:cstheme="minorHAnsi"/>
                <w:sz w:val="18"/>
                <w:szCs w:val="18"/>
                <w:lang w:val="en-US"/>
              </w:rPr>
              <w:t xml:space="preserve">The </w:t>
            </w:r>
            <w:r>
              <w:rPr>
                <w:rFonts w:asciiTheme="minorHAnsi" w:hAnsiTheme="minorHAnsi" w:cstheme="minorHAnsi"/>
                <w:sz w:val="18"/>
                <w:szCs w:val="18"/>
                <w:lang w:val="en-US"/>
              </w:rPr>
              <w:t>Depositary</w:t>
            </w:r>
            <w:r w:rsidRPr="00AE7598">
              <w:rPr>
                <w:rFonts w:asciiTheme="minorHAnsi" w:hAnsiTheme="minorHAnsi" w:cstheme="minorHAnsi"/>
                <w:sz w:val="18"/>
                <w:szCs w:val="18"/>
                <w:lang w:val="en-US"/>
              </w:rPr>
              <w:t xml:space="preserve"> ensures that the Fund</w:t>
            </w:r>
            <w:r>
              <w:rPr>
                <w:rFonts w:asciiTheme="minorHAnsi" w:hAnsiTheme="minorHAnsi" w:cstheme="minorHAnsi"/>
                <w:sz w:val="18"/>
                <w:szCs w:val="18"/>
                <w:lang w:val="en-US"/>
              </w:rPr>
              <w:t>’s</w:t>
            </w:r>
            <w:r w:rsidRPr="00AE7598">
              <w:rPr>
                <w:rFonts w:asciiTheme="minorHAnsi" w:hAnsiTheme="minorHAnsi" w:cstheme="minorHAnsi"/>
                <w:sz w:val="18"/>
                <w:szCs w:val="18"/>
                <w:lang w:val="en-US"/>
              </w:rPr>
              <w:t xml:space="preserve"> assets are kept separate from their own assets as well as those of its other clients</w:t>
            </w:r>
            <w:r>
              <w:rPr>
                <w:rFonts w:asciiTheme="minorHAnsi" w:hAnsiTheme="minorHAnsi" w:cstheme="minorHAnsi"/>
                <w:sz w:val="18"/>
                <w:szCs w:val="18"/>
                <w:lang w:val="en-US"/>
              </w:rPr>
              <w:t xml:space="preserve"> without being affected in the event of default of the Company’s payments</w:t>
            </w:r>
            <w:r w:rsidRPr="00AE7598">
              <w:rPr>
                <w:rFonts w:asciiTheme="minorHAnsi" w:hAnsiTheme="minorHAnsi" w:cstheme="minorHAnsi"/>
                <w:sz w:val="18"/>
                <w:szCs w:val="18"/>
                <w:lang w:val="en-US"/>
              </w:rPr>
              <w:t>. There is no compensation or guarantee system for investors.</w:t>
            </w:r>
          </w:p>
          <w:p w14:paraId="5A63292C" w14:textId="6B929163" w:rsidR="00F95F7B" w:rsidRPr="00884464" w:rsidRDefault="00F95F7B" w:rsidP="00884464">
            <w:pPr>
              <w:pStyle w:val="HTMLPreformatted"/>
              <w:jc w:val="both"/>
              <w:rPr>
                <w:color w:val="FF0000"/>
                <w:sz w:val="18"/>
                <w:szCs w:val="18"/>
                <w:lang w:val="en-US"/>
              </w:rPr>
            </w:pPr>
          </w:p>
        </w:tc>
      </w:tr>
      <w:tr w:rsidR="00F95F7B" w:rsidRPr="001F3C78" w14:paraId="1D0BF20D"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11341" w:type="dxa"/>
            <w:gridSpan w:val="4"/>
            <w:tcBorders>
              <w:top w:val="nil"/>
              <w:left w:val="nil"/>
              <w:bottom w:val="nil"/>
              <w:right w:val="nil"/>
            </w:tcBorders>
          </w:tcPr>
          <w:p w14:paraId="1C56FF3D" w14:textId="765B9F6F" w:rsidR="00F95F7B" w:rsidRPr="006278D5" w:rsidRDefault="00F95F7B" w:rsidP="000D5C30">
            <w:pPr>
              <w:jc w:val="both"/>
              <w:rPr>
                <w:b/>
                <w:bCs/>
                <w:color w:val="1F497D"/>
                <w:lang w:val="en-US"/>
              </w:rPr>
            </w:pPr>
            <w:r>
              <w:rPr>
                <w:b/>
                <w:bCs/>
                <w:color w:val="1F497D"/>
                <w:lang w:val="en-US"/>
              </w:rPr>
              <w:lastRenderedPageBreak/>
              <w:t>What are the costs?</w:t>
            </w:r>
            <w:r w:rsidRPr="006278D5">
              <w:rPr>
                <w:b/>
                <w:bCs/>
                <w:color w:val="1F497D"/>
                <w:lang w:val="en-US"/>
              </w:rPr>
              <w:t xml:space="preserve"> </w:t>
            </w:r>
          </w:p>
          <w:p w14:paraId="749F444B" w14:textId="0E56D7C1" w:rsidR="00F95F7B" w:rsidRPr="007B399D" w:rsidRDefault="00F95F7B" w:rsidP="000D5C30">
            <w:pPr>
              <w:jc w:val="both"/>
              <w:rPr>
                <w:b/>
                <w:bCs/>
                <w:color w:val="4472C4" w:themeColor="accent1"/>
                <w:sz w:val="18"/>
                <w:szCs w:val="18"/>
                <w:lang w:val="en-US"/>
              </w:rPr>
            </w:pPr>
            <w:r w:rsidRPr="007B399D">
              <w:rPr>
                <w:sz w:val="18"/>
                <w:szCs w:val="18"/>
                <w:lang w:val="en-US"/>
              </w:rPr>
              <w:t>The person advising on or selling you this product</w:t>
            </w:r>
            <w:r w:rsidR="0005505C">
              <w:rPr>
                <w:sz w:val="18"/>
                <w:szCs w:val="18"/>
                <w:lang w:val="en-US"/>
              </w:rPr>
              <w:t xml:space="preserve"> in the context of providing investment services,</w:t>
            </w:r>
            <w:r w:rsidRPr="007B399D">
              <w:rPr>
                <w:sz w:val="18"/>
                <w:szCs w:val="18"/>
                <w:lang w:val="en-US"/>
              </w:rPr>
              <w:t xml:space="preserve"> may charge you other costs. If so, this person will provide you with information about these costs and how they affect your investment.</w:t>
            </w:r>
          </w:p>
        </w:tc>
      </w:tr>
      <w:tr w:rsidR="00F95F7B" w:rsidRPr="005159F1" w14:paraId="4D1E773C"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1341" w:type="dxa"/>
            <w:gridSpan w:val="4"/>
            <w:tcBorders>
              <w:top w:val="nil"/>
              <w:left w:val="nil"/>
              <w:bottom w:val="nil"/>
              <w:right w:val="nil"/>
            </w:tcBorders>
          </w:tcPr>
          <w:p w14:paraId="0CFEB134" w14:textId="77777777" w:rsidR="00896AC2" w:rsidRDefault="00896AC2" w:rsidP="000D5C30">
            <w:pPr>
              <w:jc w:val="both"/>
              <w:rPr>
                <w:b/>
                <w:bCs/>
                <w:color w:val="000000" w:themeColor="text1"/>
                <w:sz w:val="18"/>
                <w:szCs w:val="18"/>
                <w:lang w:val="en-US"/>
              </w:rPr>
            </w:pPr>
          </w:p>
          <w:p w14:paraId="5063C684" w14:textId="0E3B1E1B" w:rsidR="00F95F7B" w:rsidRPr="006278D5" w:rsidRDefault="00F95F7B" w:rsidP="000D5C30">
            <w:pPr>
              <w:jc w:val="both"/>
              <w:rPr>
                <w:b/>
                <w:bCs/>
                <w:color w:val="000000" w:themeColor="text1"/>
                <w:sz w:val="18"/>
                <w:szCs w:val="18"/>
                <w:lang w:val="en-US"/>
              </w:rPr>
            </w:pPr>
            <w:r>
              <w:rPr>
                <w:b/>
                <w:bCs/>
                <w:color w:val="000000" w:themeColor="text1"/>
                <w:sz w:val="18"/>
                <w:szCs w:val="18"/>
                <w:lang w:val="en-US"/>
              </w:rPr>
              <w:t>Cost over time</w:t>
            </w:r>
          </w:p>
          <w:p w14:paraId="1EC39377" w14:textId="1580D87D" w:rsidR="00F95F7B" w:rsidRPr="007B399D" w:rsidRDefault="00F95F7B" w:rsidP="000D5C30">
            <w:pPr>
              <w:jc w:val="both"/>
              <w:rPr>
                <w:sz w:val="18"/>
                <w:szCs w:val="18"/>
                <w:lang w:val="en-US"/>
              </w:rPr>
            </w:pPr>
            <w:r w:rsidRPr="007B399D">
              <w:rPr>
                <w:sz w:val="18"/>
                <w:szCs w:val="18"/>
                <w:lang w:val="en-US"/>
              </w:rPr>
              <w:t>The tables show the amounts that are taken from your investment to cover different types of costs. These amounts depend on how much you invest,</w:t>
            </w:r>
            <w:r w:rsidR="00C75050" w:rsidRPr="007B399D">
              <w:rPr>
                <w:sz w:val="18"/>
                <w:szCs w:val="18"/>
                <w:lang w:val="en-US"/>
              </w:rPr>
              <w:t xml:space="preserve"> the</w:t>
            </w:r>
            <w:r w:rsidR="00C75050">
              <w:rPr>
                <w:sz w:val="18"/>
                <w:szCs w:val="18"/>
                <w:lang w:val="en-US"/>
              </w:rPr>
              <w:t xml:space="preserve"> holding period</w:t>
            </w:r>
            <w:r w:rsidR="00C75050" w:rsidRPr="007B399D">
              <w:rPr>
                <w:sz w:val="18"/>
                <w:szCs w:val="18"/>
                <w:lang w:val="en-US"/>
              </w:rPr>
              <w:t xml:space="preserve"> and the Fund</w:t>
            </w:r>
            <w:r w:rsidR="00C75050">
              <w:rPr>
                <w:sz w:val="18"/>
                <w:szCs w:val="18"/>
                <w:lang w:val="en-US"/>
              </w:rPr>
              <w:t>’s performance</w:t>
            </w:r>
            <w:r w:rsidRPr="007B399D">
              <w:rPr>
                <w:sz w:val="18"/>
                <w:szCs w:val="18"/>
                <w:lang w:val="en-US"/>
              </w:rPr>
              <w:t>. The amounts shown here are illustrations based on an example investment amount and different possible investment periods.</w:t>
            </w:r>
          </w:p>
          <w:p w14:paraId="4FFD0A15" w14:textId="77777777" w:rsidR="00F95F7B" w:rsidRPr="00C1331C" w:rsidRDefault="00F95F7B" w:rsidP="000D5C30">
            <w:pPr>
              <w:jc w:val="both"/>
              <w:rPr>
                <w:b/>
                <w:bCs/>
                <w:sz w:val="18"/>
                <w:szCs w:val="18"/>
                <w:lang w:val="en-US"/>
              </w:rPr>
            </w:pPr>
            <w:r w:rsidRPr="00811AC9">
              <w:rPr>
                <w:b/>
                <w:bCs/>
                <w:sz w:val="17"/>
                <w:szCs w:val="17"/>
                <w:lang w:val="en-US"/>
              </w:rPr>
              <w:t xml:space="preserve"> </w:t>
            </w:r>
            <w:r>
              <w:rPr>
                <w:b/>
                <w:bCs/>
                <w:sz w:val="18"/>
                <w:szCs w:val="18"/>
                <w:lang w:val="en-US"/>
              </w:rPr>
              <w:t>We have assumed</w:t>
            </w:r>
          </w:p>
          <w:p w14:paraId="397896E7" w14:textId="28CEAB24" w:rsidR="00F95F7B" w:rsidRPr="007B399D" w:rsidRDefault="00F95F7B" w:rsidP="000D5C30">
            <w:pPr>
              <w:jc w:val="both"/>
              <w:rPr>
                <w:color w:val="000000" w:themeColor="text1"/>
                <w:sz w:val="18"/>
                <w:szCs w:val="18"/>
                <w:lang w:val="en-US"/>
              </w:rPr>
            </w:pPr>
            <w:r w:rsidRPr="007B399D">
              <w:rPr>
                <w:b/>
                <w:bCs/>
                <w:color w:val="000000" w:themeColor="text1"/>
                <w:sz w:val="18"/>
                <w:szCs w:val="18"/>
                <w:lang w:val="en-US"/>
              </w:rPr>
              <w:t xml:space="preserve">— </w:t>
            </w:r>
            <w:r w:rsidRPr="007B399D">
              <w:rPr>
                <w:sz w:val="18"/>
                <w:szCs w:val="18"/>
                <w:lang w:val="en-US"/>
              </w:rPr>
              <w:t xml:space="preserve"> </w:t>
            </w:r>
            <w:r w:rsidRPr="007B399D">
              <w:rPr>
                <w:color w:val="000000" w:themeColor="text1"/>
                <w:sz w:val="18"/>
                <w:szCs w:val="18"/>
                <w:lang w:val="en-US"/>
              </w:rPr>
              <w:t>In the first year you would get back the amount that you invested (0 % annual return). For the other holding periods we have assumed the Fund performs as shown in the moderate scenario</w:t>
            </w:r>
          </w:p>
          <w:p w14:paraId="6A0496EA" w14:textId="775EE010" w:rsidR="007A4E79" w:rsidRPr="000D5C30" w:rsidRDefault="00F95F7B" w:rsidP="000D5C30">
            <w:pPr>
              <w:jc w:val="both"/>
              <w:rPr>
                <w:color w:val="000000" w:themeColor="text1"/>
                <w:sz w:val="18"/>
                <w:szCs w:val="18"/>
                <w:lang w:val="en-US"/>
              </w:rPr>
            </w:pPr>
            <w:r w:rsidRPr="007B399D">
              <w:rPr>
                <w:color w:val="000000" w:themeColor="text1"/>
                <w:sz w:val="18"/>
                <w:szCs w:val="18"/>
                <w:lang w:val="en-US"/>
              </w:rPr>
              <w:t xml:space="preserve"> </w:t>
            </w:r>
            <w:r w:rsidRPr="00C80B38">
              <w:rPr>
                <w:color w:val="000000" w:themeColor="text1"/>
                <w:sz w:val="18"/>
                <w:szCs w:val="18"/>
                <w:lang w:val="en-US"/>
              </w:rPr>
              <w:t xml:space="preserve">—10.000 </w:t>
            </w:r>
            <w:r w:rsidR="006A45C1">
              <w:rPr>
                <w:color w:val="000000" w:themeColor="text1"/>
                <w:sz w:val="18"/>
                <w:szCs w:val="18"/>
                <w:lang w:val="en-US"/>
              </w:rPr>
              <w:t>EUR</w:t>
            </w:r>
            <w:r w:rsidRPr="00C80B38">
              <w:rPr>
                <w:color w:val="000000" w:themeColor="text1"/>
                <w:sz w:val="18"/>
                <w:szCs w:val="18"/>
                <w:lang w:val="en-US"/>
              </w:rPr>
              <w:t xml:space="preserve"> is invested.</w:t>
            </w:r>
          </w:p>
        </w:tc>
      </w:tr>
      <w:tr w:rsidR="00F95F7B" w:rsidRPr="001F3C78" w14:paraId="742AC65F"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
        </w:trPr>
        <w:tc>
          <w:tcPr>
            <w:tcW w:w="11341" w:type="dxa"/>
            <w:gridSpan w:val="4"/>
            <w:tcBorders>
              <w:top w:val="nil"/>
              <w:left w:val="nil"/>
              <w:bottom w:val="nil"/>
              <w:right w:val="nil"/>
            </w:tcBorders>
          </w:tcPr>
          <w:tbl>
            <w:tblPr>
              <w:tblStyle w:val="TableGrid"/>
              <w:tblpPr w:leftFromText="180" w:rightFromText="180" w:vertAnchor="text" w:horzAnchor="margin" w:tblpXSpec="center" w:tblpY="-277"/>
              <w:tblOverlap w:val="never"/>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685"/>
              <w:gridCol w:w="3969"/>
            </w:tblGrid>
            <w:tr w:rsidR="00F95F7B" w:rsidRPr="001F3C78" w14:paraId="2E4BE665" w14:textId="77777777" w:rsidTr="0026565A">
              <w:trPr>
                <w:trHeight w:val="699"/>
                <w:jc w:val="center"/>
              </w:trPr>
              <w:tc>
                <w:tcPr>
                  <w:tcW w:w="3545" w:type="dxa"/>
                  <w:shd w:val="clear" w:color="auto" w:fill="1F497D"/>
                </w:tcPr>
                <w:p w14:paraId="198F5259" w14:textId="77777777" w:rsidR="00F95F7B" w:rsidRPr="00F44448" w:rsidRDefault="00F95F7B" w:rsidP="000D5C30">
                  <w:pPr>
                    <w:rPr>
                      <w:sz w:val="18"/>
                      <w:szCs w:val="18"/>
                    </w:rPr>
                  </w:pPr>
                </w:p>
              </w:tc>
              <w:tc>
                <w:tcPr>
                  <w:tcW w:w="3685" w:type="dxa"/>
                  <w:shd w:val="clear" w:color="auto" w:fill="1F497D"/>
                </w:tcPr>
                <w:p w14:paraId="2A56EA4A" w14:textId="77777777" w:rsidR="00F95F7B" w:rsidRPr="007B399D" w:rsidRDefault="00F95F7B" w:rsidP="000D5C30">
                  <w:pPr>
                    <w:jc w:val="center"/>
                    <w:rPr>
                      <w:rFonts w:ascii="Calibri" w:eastAsia="Calibri" w:hAnsi="Calibri"/>
                      <w:color w:val="FFFFFF" w:themeColor="background1"/>
                      <w:sz w:val="20"/>
                      <w:szCs w:val="20"/>
                      <w:lang w:val="en-US"/>
                    </w:rPr>
                  </w:pPr>
                </w:p>
                <w:p w14:paraId="6366D712" w14:textId="67073617" w:rsidR="00F95F7B" w:rsidRPr="007B399D" w:rsidRDefault="00F95F7B" w:rsidP="000D5C30">
                  <w:pPr>
                    <w:jc w:val="center"/>
                    <w:rPr>
                      <w:color w:val="FFFFFF" w:themeColor="background1"/>
                      <w:sz w:val="20"/>
                      <w:szCs w:val="20"/>
                      <w:lang w:val="en-US"/>
                    </w:rPr>
                  </w:pPr>
                  <w:r w:rsidRPr="007B399D">
                    <w:rPr>
                      <w:rFonts w:ascii="Calibri" w:eastAsia="Calibri" w:hAnsi="Calibri"/>
                      <w:color w:val="FFFFFF" w:themeColor="background1"/>
                      <w:sz w:val="20"/>
                      <w:szCs w:val="20"/>
                      <w:lang w:val="en-US"/>
                    </w:rPr>
                    <w:t>If you exit after 1 year</w:t>
                  </w:r>
                </w:p>
              </w:tc>
              <w:tc>
                <w:tcPr>
                  <w:tcW w:w="3969" w:type="dxa"/>
                  <w:shd w:val="clear" w:color="auto" w:fill="1F497D"/>
                </w:tcPr>
                <w:p w14:paraId="7B55C499" w14:textId="77777777" w:rsidR="00F95F7B" w:rsidRPr="007B399D" w:rsidRDefault="00F95F7B" w:rsidP="000D5C30">
                  <w:pPr>
                    <w:jc w:val="center"/>
                    <w:rPr>
                      <w:rFonts w:ascii="Calibri" w:eastAsia="Calibri" w:hAnsi="Calibri"/>
                      <w:color w:val="FFFFFF" w:themeColor="background1"/>
                      <w:sz w:val="20"/>
                      <w:szCs w:val="20"/>
                      <w:lang w:val="en-US"/>
                    </w:rPr>
                  </w:pPr>
                </w:p>
                <w:p w14:paraId="2464137A" w14:textId="2AF53328" w:rsidR="00F95F7B" w:rsidRPr="007B399D" w:rsidRDefault="00F95F7B" w:rsidP="000D5C30">
                  <w:pPr>
                    <w:jc w:val="center"/>
                    <w:rPr>
                      <w:color w:val="FFFFFF" w:themeColor="background1"/>
                      <w:sz w:val="20"/>
                      <w:szCs w:val="20"/>
                      <w:lang w:val="en-US"/>
                    </w:rPr>
                  </w:pPr>
                  <w:r w:rsidRPr="007B399D">
                    <w:rPr>
                      <w:rFonts w:ascii="Calibri" w:eastAsia="Calibri" w:hAnsi="Calibri"/>
                      <w:color w:val="FFFFFF" w:themeColor="background1"/>
                      <w:sz w:val="20"/>
                      <w:szCs w:val="20"/>
                      <w:lang w:val="en-US"/>
                    </w:rPr>
                    <w:t xml:space="preserve">If you exit </w:t>
                  </w:r>
                  <w:r w:rsidRPr="00FA01DF">
                    <w:rPr>
                      <w:rFonts w:ascii="Calibri" w:eastAsia="Calibri" w:hAnsi="Calibri"/>
                      <w:color w:val="FFFFFF" w:themeColor="background1"/>
                      <w:sz w:val="20"/>
                      <w:szCs w:val="20"/>
                      <w:lang w:val="en-US"/>
                    </w:rPr>
                    <w:t xml:space="preserve">after </w:t>
                  </w:r>
                  <w:r w:rsidR="003C7D97">
                    <w:rPr>
                      <w:rFonts w:ascii="Calibri" w:eastAsia="Calibri" w:hAnsi="Calibri"/>
                      <w:color w:val="FFFFFF" w:themeColor="background1"/>
                      <w:sz w:val="20"/>
                      <w:szCs w:val="20"/>
                      <w:lang w:val="en-US"/>
                    </w:rPr>
                    <w:t>5</w:t>
                  </w:r>
                  <w:r w:rsidRPr="00FA01DF">
                    <w:rPr>
                      <w:rFonts w:ascii="Calibri" w:eastAsia="Calibri" w:hAnsi="Calibri"/>
                      <w:color w:val="FFFFFF" w:themeColor="background1"/>
                      <w:sz w:val="20"/>
                      <w:szCs w:val="20"/>
                      <w:lang w:val="en-US"/>
                    </w:rPr>
                    <w:t xml:space="preserve"> years</w:t>
                  </w:r>
                </w:p>
              </w:tc>
            </w:tr>
            <w:tr w:rsidR="00581677" w:rsidRPr="001F3C78" w14:paraId="1230ECF6" w14:textId="77777777" w:rsidTr="00D72D8B">
              <w:trPr>
                <w:trHeight w:val="280"/>
                <w:jc w:val="center"/>
              </w:trPr>
              <w:tc>
                <w:tcPr>
                  <w:tcW w:w="3545" w:type="dxa"/>
                  <w:shd w:val="clear" w:color="auto" w:fill="DEEAF6" w:themeFill="accent5" w:themeFillTint="33"/>
                </w:tcPr>
                <w:p w14:paraId="30D27793" w14:textId="4F78AE6E" w:rsidR="00581677" w:rsidRPr="00FA01DF" w:rsidRDefault="00581677" w:rsidP="00581677">
                  <w:pPr>
                    <w:rPr>
                      <w:sz w:val="18"/>
                      <w:szCs w:val="18"/>
                      <w:lang w:val="en-US"/>
                    </w:rPr>
                  </w:pPr>
                  <w:r w:rsidRPr="00FA01DF">
                    <w:rPr>
                      <w:rFonts w:ascii="Calibri" w:eastAsia="Calibri" w:hAnsi="Calibri"/>
                      <w:b/>
                      <w:bCs/>
                      <w:sz w:val="18"/>
                      <w:szCs w:val="18"/>
                      <w:lang w:val="en-US"/>
                    </w:rPr>
                    <w:t>Total costs</w:t>
                  </w:r>
                </w:p>
              </w:tc>
              <w:tc>
                <w:tcPr>
                  <w:tcW w:w="3685" w:type="dxa"/>
                  <w:shd w:val="clear" w:color="auto" w:fill="DEEAF6" w:themeFill="accent5" w:themeFillTint="33"/>
                  <w:vAlign w:val="center"/>
                </w:tcPr>
                <w:p w14:paraId="154215CD" w14:textId="300B14D9" w:rsidR="00581677" w:rsidRPr="00476ED5" w:rsidRDefault="00E844BB" w:rsidP="00581677">
                  <w:pPr>
                    <w:jc w:val="center"/>
                    <w:rPr>
                      <w:color w:val="000000" w:themeColor="text1"/>
                      <w:sz w:val="18"/>
                      <w:szCs w:val="18"/>
                      <w:highlight w:val="lightGray"/>
                      <w:lang w:val="en-US"/>
                    </w:rPr>
                  </w:pPr>
                  <w:r w:rsidRPr="00E844BB">
                    <w:rPr>
                      <w:rFonts w:ascii="Calibri" w:hAnsi="Calibri" w:cs="Calibri"/>
                      <w:color w:val="000000"/>
                      <w:sz w:val="18"/>
                      <w:szCs w:val="18"/>
                      <w:lang w:val="en-US"/>
                    </w:rPr>
                    <w:t>70</w:t>
                  </w:r>
                  <w:r w:rsidR="004D5330">
                    <w:rPr>
                      <w:rFonts w:ascii="Calibri" w:hAnsi="Calibri" w:cs="Calibri"/>
                      <w:color w:val="000000"/>
                      <w:sz w:val="18"/>
                      <w:szCs w:val="18"/>
                    </w:rPr>
                    <w:t>8</w:t>
                  </w:r>
                  <w:r w:rsidRPr="00E844BB">
                    <w:rPr>
                      <w:rFonts w:ascii="Calibri" w:hAnsi="Calibri" w:cs="Calibri"/>
                      <w:color w:val="000000"/>
                      <w:sz w:val="18"/>
                      <w:szCs w:val="18"/>
                      <w:lang w:val="en-US"/>
                    </w:rPr>
                    <w:t xml:space="preserve"> €</w:t>
                  </w:r>
                </w:p>
              </w:tc>
              <w:tc>
                <w:tcPr>
                  <w:tcW w:w="3969" w:type="dxa"/>
                  <w:shd w:val="clear" w:color="auto" w:fill="DEEAF6" w:themeFill="accent5" w:themeFillTint="33"/>
                  <w:vAlign w:val="center"/>
                </w:tcPr>
                <w:p w14:paraId="234B1352" w14:textId="676FC49B" w:rsidR="00581677" w:rsidRPr="00476ED5" w:rsidRDefault="00E844BB" w:rsidP="00581677">
                  <w:pPr>
                    <w:jc w:val="center"/>
                    <w:rPr>
                      <w:rFonts w:ascii="Calibri" w:hAnsi="Calibri" w:cs="Calibri"/>
                      <w:color w:val="000000"/>
                      <w:sz w:val="18"/>
                      <w:szCs w:val="18"/>
                      <w:highlight w:val="lightGray"/>
                      <w:lang w:val="en-US"/>
                    </w:rPr>
                  </w:pPr>
                  <w:r w:rsidRPr="00E844BB">
                    <w:rPr>
                      <w:rFonts w:ascii="Calibri" w:hAnsi="Calibri" w:cs="Calibri"/>
                      <w:color w:val="000000"/>
                      <w:sz w:val="18"/>
                      <w:szCs w:val="18"/>
                      <w:lang w:val="en-US"/>
                    </w:rPr>
                    <w:t>2.</w:t>
                  </w:r>
                  <w:r w:rsidR="004D5330">
                    <w:rPr>
                      <w:rFonts w:ascii="Calibri" w:hAnsi="Calibri" w:cs="Calibri"/>
                      <w:color w:val="000000"/>
                      <w:sz w:val="18"/>
                      <w:szCs w:val="18"/>
                    </w:rPr>
                    <w:t>204</w:t>
                  </w:r>
                  <w:r w:rsidRPr="00E844BB">
                    <w:rPr>
                      <w:rFonts w:ascii="Calibri" w:hAnsi="Calibri" w:cs="Calibri"/>
                      <w:color w:val="000000"/>
                      <w:sz w:val="18"/>
                      <w:szCs w:val="18"/>
                      <w:lang w:val="en-US"/>
                    </w:rPr>
                    <w:t xml:space="preserve"> €</w:t>
                  </w:r>
                </w:p>
              </w:tc>
            </w:tr>
            <w:tr w:rsidR="00581677" w:rsidRPr="001F3C78" w14:paraId="317A7CE4" w14:textId="77777777" w:rsidTr="00B2556A">
              <w:trPr>
                <w:trHeight w:val="276"/>
                <w:jc w:val="center"/>
              </w:trPr>
              <w:tc>
                <w:tcPr>
                  <w:tcW w:w="3545" w:type="dxa"/>
                  <w:shd w:val="clear" w:color="auto" w:fill="DEEAF6" w:themeFill="accent5" w:themeFillTint="33"/>
                </w:tcPr>
                <w:p w14:paraId="79FF475F" w14:textId="22A4A6BF" w:rsidR="00581677" w:rsidRPr="00FA01DF" w:rsidRDefault="00581677" w:rsidP="00581677">
                  <w:pPr>
                    <w:rPr>
                      <w:sz w:val="18"/>
                      <w:szCs w:val="18"/>
                      <w:lang w:val="en-US"/>
                    </w:rPr>
                  </w:pPr>
                  <w:r w:rsidRPr="00FA01DF">
                    <w:rPr>
                      <w:rFonts w:ascii="Calibri" w:eastAsia="Calibri" w:hAnsi="Calibri"/>
                      <w:b/>
                      <w:bCs/>
                      <w:sz w:val="18"/>
                      <w:szCs w:val="18"/>
                      <w:lang w:val="en-US"/>
                    </w:rPr>
                    <w:t>Annual cost impact (*)</w:t>
                  </w:r>
                </w:p>
              </w:tc>
              <w:tc>
                <w:tcPr>
                  <w:tcW w:w="3685" w:type="dxa"/>
                  <w:shd w:val="clear" w:color="auto" w:fill="DEEAF6" w:themeFill="accent5" w:themeFillTint="33"/>
                  <w:vAlign w:val="center"/>
                </w:tcPr>
                <w:p w14:paraId="5161F595" w14:textId="166187B0" w:rsidR="00581677" w:rsidRPr="00476ED5" w:rsidRDefault="00581677" w:rsidP="00581677">
                  <w:pPr>
                    <w:jc w:val="center"/>
                    <w:rPr>
                      <w:color w:val="000000" w:themeColor="text1"/>
                      <w:sz w:val="18"/>
                      <w:szCs w:val="18"/>
                      <w:highlight w:val="lightGray"/>
                      <w:lang w:val="en-US"/>
                    </w:rPr>
                  </w:pPr>
                  <w:r w:rsidRPr="00581677">
                    <w:rPr>
                      <w:rFonts w:ascii="Calibri" w:hAnsi="Calibri" w:cs="Calibri"/>
                      <w:color w:val="000000"/>
                      <w:sz w:val="18"/>
                      <w:szCs w:val="18"/>
                      <w:lang w:val="en-US"/>
                    </w:rPr>
                    <w:t>7,</w:t>
                  </w:r>
                  <w:r w:rsidR="00E844BB">
                    <w:rPr>
                      <w:rFonts w:ascii="Calibri" w:hAnsi="Calibri" w:cs="Calibri"/>
                      <w:color w:val="000000"/>
                      <w:sz w:val="18"/>
                      <w:szCs w:val="18"/>
                      <w:lang w:val="en-US"/>
                    </w:rPr>
                    <w:t>1</w:t>
                  </w:r>
                  <w:r w:rsidRPr="00581677">
                    <w:rPr>
                      <w:rFonts w:ascii="Calibri" w:hAnsi="Calibri" w:cs="Calibri"/>
                      <w:color w:val="000000"/>
                      <w:sz w:val="18"/>
                      <w:szCs w:val="18"/>
                      <w:lang w:val="en-US"/>
                    </w:rPr>
                    <w:t>%</w:t>
                  </w:r>
                </w:p>
              </w:tc>
              <w:tc>
                <w:tcPr>
                  <w:tcW w:w="3969" w:type="dxa"/>
                  <w:shd w:val="clear" w:color="auto" w:fill="DEEAF6" w:themeFill="accent5" w:themeFillTint="33"/>
                  <w:vAlign w:val="center"/>
                </w:tcPr>
                <w:p w14:paraId="36172886" w14:textId="0730A0DA" w:rsidR="00581677" w:rsidRPr="00476ED5" w:rsidRDefault="00581677" w:rsidP="00581677">
                  <w:pPr>
                    <w:jc w:val="center"/>
                    <w:rPr>
                      <w:rFonts w:ascii="Calibri" w:hAnsi="Calibri" w:cs="Calibri"/>
                      <w:color w:val="000000"/>
                      <w:sz w:val="18"/>
                      <w:szCs w:val="18"/>
                      <w:highlight w:val="lightGray"/>
                      <w:lang w:val="en-US"/>
                    </w:rPr>
                  </w:pPr>
                  <w:r w:rsidRPr="00176F59">
                    <w:rPr>
                      <w:rFonts w:ascii="Calibri" w:hAnsi="Calibri" w:cs="Calibri"/>
                      <w:color w:val="000000"/>
                      <w:sz w:val="18"/>
                      <w:szCs w:val="18"/>
                      <w:lang w:val="en-US"/>
                    </w:rPr>
                    <w:t>3,8% each year</w:t>
                  </w:r>
                </w:p>
              </w:tc>
            </w:tr>
          </w:tbl>
          <w:p w14:paraId="6BBFAEFD" w14:textId="13493CB3" w:rsidR="006A45C1" w:rsidRPr="00FA01DF" w:rsidRDefault="006A45C1" w:rsidP="000D5C30">
            <w:pPr>
              <w:jc w:val="both"/>
              <w:rPr>
                <w:color w:val="000000" w:themeColor="text1"/>
                <w:sz w:val="18"/>
                <w:szCs w:val="18"/>
                <w:lang w:val="en-US"/>
              </w:rPr>
            </w:pPr>
            <w:r w:rsidRPr="00FA01DF">
              <w:rPr>
                <w:color w:val="000000" w:themeColor="text1"/>
                <w:sz w:val="18"/>
                <w:szCs w:val="18"/>
                <w:lang w:val="en-US"/>
              </w:rPr>
              <w:t>(*) This illustrates how costs reduce your return each year over the holding period.</w:t>
            </w:r>
            <w:r w:rsidRPr="00FA01DF">
              <w:rPr>
                <w:sz w:val="18"/>
                <w:szCs w:val="18"/>
                <w:lang w:val="en-US"/>
              </w:rPr>
              <w:t xml:space="preserve"> </w:t>
            </w:r>
            <w:r w:rsidRPr="00FA01DF">
              <w:rPr>
                <w:color w:val="000000" w:themeColor="text1"/>
                <w:sz w:val="18"/>
                <w:szCs w:val="18"/>
                <w:lang w:val="en-US"/>
              </w:rPr>
              <w:t xml:space="preserve">For example, it shows that if you exit at the recommended holding period your average return per year is projected to </w:t>
            </w:r>
            <w:r w:rsidRPr="00903300">
              <w:rPr>
                <w:color w:val="000000" w:themeColor="text1"/>
                <w:sz w:val="18"/>
                <w:szCs w:val="18"/>
                <w:lang w:val="en-US"/>
              </w:rPr>
              <w:t xml:space="preserve">be </w:t>
            </w:r>
            <w:r w:rsidR="00471660" w:rsidRPr="00471660">
              <w:rPr>
                <w:color w:val="000000" w:themeColor="text1"/>
                <w:sz w:val="18"/>
                <w:szCs w:val="18"/>
                <w:lang w:val="en-US"/>
              </w:rPr>
              <w:t>6</w:t>
            </w:r>
            <w:r w:rsidR="007C11DE" w:rsidRPr="00903300">
              <w:rPr>
                <w:color w:val="000000" w:themeColor="text1"/>
                <w:sz w:val="18"/>
                <w:szCs w:val="18"/>
                <w:lang w:val="en-US"/>
              </w:rPr>
              <w:t>,</w:t>
            </w:r>
            <w:r w:rsidR="00471660" w:rsidRPr="00471660">
              <w:rPr>
                <w:color w:val="000000" w:themeColor="text1"/>
                <w:sz w:val="18"/>
                <w:szCs w:val="18"/>
                <w:lang w:val="en-US"/>
              </w:rPr>
              <w:t>0</w:t>
            </w:r>
            <w:r w:rsidRPr="00903300">
              <w:rPr>
                <w:color w:val="000000" w:themeColor="text1"/>
                <w:sz w:val="18"/>
                <w:szCs w:val="18"/>
                <w:lang w:val="en-US"/>
              </w:rPr>
              <w:t>% before</w:t>
            </w:r>
            <w:r w:rsidRPr="00FA01DF">
              <w:rPr>
                <w:color w:val="000000" w:themeColor="text1"/>
                <w:sz w:val="18"/>
                <w:szCs w:val="18"/>
                <w:lang w:val="en-US"/>
              </w:rPr>
              <w:t xml:space="preserve"> costs and </w:t>
            </w:r>
            <w:r w:rsidR="00471660" w:rsidRPr="00471660">
              <w:rPr>
                <w:color w:val="000000" w:themeColor="text1"/>
                <w:sz w:val="18"/>
                <w:szCs w:val="18"/>
                <w:lang w:val="en-US"/>
              </w:rPr>
              <w:t>2</w:t>
            </w:r>
            <w:r w:rsidR="00E844BB">
              <w:rPr>
                <w:color w:val="000000" w:themeColor="text1"/>
                <w:sz w:val="18"/>
                <w:szCs w:val="18"/>
                <w:lang w:val="en-US"/>
              </w:rPr>
              <w:t>,</w:t>
            </w:r>
            <w:r w:rsidR="00471660" w:rsidRPr="00471660">
              <w:rPr>
                <w:color w:val="000000" w:themeColor="text1"/>
                <w:sz w:val="18"/>
                <w:szCs w:val="18"/>
                <w:lang w:val="en-US"/>
              </w:rPr>
              <w:t>2</w:t>
            </w:r>
            <w:r w:rsidRPr="002021AE">
              <w:rPr>
                <w:color w:val="000000" w:themeColor="text1"/>
                <w:sz w:val="18"/>
                <w:szCs w:val="18"/>
                <w:lang w:val="en-US"/>
              </w:rPr>
              <w:t>%</w:t>
            </w:r>
            <w:r w:rsidRPr="00FA01DF">
              <w:rPr>
                <w:color w:val="000000" w:themeColor="text1"/>
                <w:sz w:val="18"/>
                <w:szCs w:val="18"/>
                <w:lang w:val="en-US"/>
              </w:rPr>
              <w:t xml:space="preserve"> after costs.</w:t>
            </w:r>
          </w:p>
          <w:p w14:paraId="5D9D3C9A" w14:textId="1D82523F" w:rsidR="00F95F7B" w:rsidRPr="00C01B55" w:rsidRDefault="00F95F7B" w:rsidP="0005505C">
            <w:pPr>
              <w:jc w:val="both"/>
              <w:rPr>
                <w:color w:val="000000" w:themeColor="text1"/>
                <w:sz w:val="18"/>
                <w:szCs w:val="18"/>
                <w:lang w:val="en-US"/>
              </w:rPr>
            </w:pPr>
          </w:p>
        </w:tc>
      </w:tr>
      <w:tr w:rsidR="00F95F7B" w:rsidRPr="005159F1" w14:paraId="13908BDD"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4"/>
            <w:tcBorders>
              <w:top w:val="nil"/>
              <w:left w:val="nil"/>
              <w:bottom w:val="single" w:sz="4" w:space="0" w:color="auto"/>
              <w:right w:val="nil"/>
            </w:tcBorders>
          </w:tcPr>
          <w:p w14:paraId="1FE79D76" w14:textId="701DD2BD" w:rsidR="00F95F7B" w:rsidRPr="00954F81" w:rsidRDefault="00F95F7B" w:rsidP="000D5C30">
            <w:pPr>
              <w:rPr>
                <w:b/>
                <w:bCs/>
                <w:sz w:val="20"/>
                <w:szCs w:val="20"/>
              </w:rPr>
            </w:pPr>
            <w:r>
              <w:rPr>
                <w:b/>
                <w:bCs/>
                <w:sz w:val="20"/>
                <w:szCs w:val="20"/>
                <w:lang w:val="en-US"/>
              </w:rPr>
              <w:t>Composition of costs</w:t>
            </w:r>
          </w:p>
        </w:tc>
      </w:tr>
      <w:tr w:rsidR="006A45C1" w:rsidRPr="001F3C78" w14:paraId="6659C1B6"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9495"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F4E072" w14:textId="77777777" w:rsidR="006A45C1" w:rsidRPr="006A45C1" w:rsidRDefault="006A45C1" w:rsidP="000D5C30">
            <w:pPr>
              <w:rPr>
                <w:sz w:val="18"/>
                <w:szCs w:val="18"/>
                <w:lang w:val="en-US"/>
              </w:rPr>
            </w:pPr>
            <w:r w:rsidRPr="006A45C1">
              <w:rPr>
                <w:b/>
                <w:bCs/>
                <w:sz w:val="18"/>
                <w:szCs w:val="18"/>
                <w:lang w:val="en-US"/>
              </w:rPr>
              <w:t>One-off costs upon entry or exit</w:t>
            </w:r>
          </w:p>
        </w:tc>
        <w:tc>
          <w:tcPr>
            <w:tcW w:w="18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533D0B" w14:textId="77777777" w:rsidR="006A45C1" w:rsidRPr="006A45C1" w:rsidRDefault="006A45C1" w:rsidP="000D5C30">
            <w:pPr>
              <w:jc w:val="center"/>
              <w:rPr>
                <w:b/>
                <w:bCs/>
                <w:sz w:val="18"/>
                <w:szCs w:val="18"/>
                <w:lang w:val="en-US"/>
              </w:rPr>
            </w:pPr>
            <w:r w:rsidRPr="006A45C1">
              <w:rPr>
                <w:b/>
                <w:bCs/>
                <w:sz w:val="18"/>
                <w:szCs w:val="18"/>
                <w:lang w:val="en-US"/>
              </w:rPr>
              <w:t>If you exit after 1 year</w:t>
            </w:r>
          </w:p>
        </w:tc>
      </w:tr>
      <w:tr w:rsidR="006A45C1" w:rsidRPr="00F7320F" w14:paraId="2A3FDB68"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8"/>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DE4E79" w14:textId="77777777" w:rsidR="006A45C1" w:rsidRPr="006A45C1" w:rsidRDefault="006A45C1" w:rsidP="000D5C30">
            <w:pPr>
              <w:rPr>
                <w:b/>
                <w:bCs/>
                <w:sz w:val="18"/>
                <w:szCs w:val="18"/>
              </w:rPr>
            </w:pPr>
            <w:r w:rsidRPr="006A45C1">
              <w:rPr>
                <w:rFonts w:ascii="Calibri" w:eastAsia="Times New Roman" w:hAnsi="Calibri" w:cs="Times New Roman"/>
                <w:b/>
                <w:bCs/>
                <w:color w:val="000000"/>
                <w:sz w:val="18"/>
                <w:szCs w:val="18"/>
                <w:lang w:val="en-US" w:eastAsia="el-GR"/>
              </w:rPr>
              <w:t>Entry costs</w:t>
            </w:r>
          </w:p>
        </w:tc>
        <w:tc>
          <w:tcPr>
            <w:tcW w:w="7510" w:type="dxa"/>
            <w:gridSpan w:val="2"/>
            <w:tcBorders>
              <w:top w:val="nil"/>
              <w:left w:val="nil"/>
              <w:bottom w:val="single" w:sz="4" w:space="0" w:color="auto"/>
              <w:right w:val="nil"/>
            </w:tcBorders>
            <w:shd w:val="clear" w:color="auto" w:fill="DEEAF6" w:themeFill="accent5" w:themeFillTint="33"/>
            <w:vAlign w:val="center"/>
          </w:tcPr>
          <w:p w14:paraId="477524FD" w14:textId="0AB8A608" w:rsidR="00057C08" w:rsidRPr="00C10FA6" w:rsidRDefault="007C11DE" w:rsidP="00505BAB">
            <w:pPr>
              <w:rPr>
                <w:sz w:val="18"/>
                <w:szCs w:val="18"/>
                <w:lang w:val="en-US"/>
              </w:rPr>
            </w:pPr>
            <w:r w:rsidRPr="000B581A">
              <w:rPr>
                <w:sz w:val="18"/>
                <w:szCs w:val="18"/>
                <w:lang w:val="en-US"/>
              </w:rPr>
              <w:t>2</w:t>
            </w:r>
            <w:r w:rsidR="00BD73BB" w:rsidRPr="000B581A">
              <w:rPr>
                <w:sz w:val="18"/>
                <w:szCs w:val="18"/>
                <w:lang w:val="en-US"/>
              </w:rPr>
              <w:t>,00 %</w:t>
            </w:r>
            <w:r w:rsidR="00D62900" w:rsidRPr="000B581A">
              <w:rPr>
                <w:sz w:val="18"/>
                <w:szCs w:val="18"/>
                <w:lang w:val="en-US"/>
              </w:rPr>
              <w:t xml:space="preserve"> of</w:t>
            </w:r>
            <w:r w:rsidR="00D62900" w:rsidRPr="00AD7C57">
              <w:rPr>
                <w:sz w:val="18"/>
                <w:szCs w:val="18"/>
                <w:lang w:val="en-US"/>
              </w:rPr>
              <w:t xml:space="preserve"> the amount you pay in when entering this investment during the launch period </w:t>
            </w:r>
            <w:r w:rsidR="00EA3D8D" w:rsidRPr="004760CA">
              <w:rPr>
                <w:sz w:val="18"/>
                <w:szCs w:val="18"/>
                <w:lang w:val="en-US"/>
              </w:rPr>
              <w:t>(</w:t>
            </w:r>
            <w:r w:rsidR="004760CA" w:rsidRPr="004760CA">
              <w:rPr>
                <w:sz w:val="18"/>
                <w:szCs w:val="18"/>
                <w:lang w:val="en-US"/>
              </w:rPr>
              <w:t>12</w:t>
            </w:r>
            <w:r w:rsidR="00EA3D8D" w:rsidRPr="004760CA">
              <w:rPr>
                <w:sz w:val="18"/>
                <w:szCs w:val="18"/>
                <w:lang w:val="en-US"/>
              </w:rPr>
              <w:t>/</w:t>
            </w:r>
            <w:r w:rsidR="004760CA" w:rsidRPr="004760CA">
              <w:rPr>
                <w:sz w:val="18"/>
                <w:szCs w:val="18"/>
                <w:lang w:val="en-US"/>
              </w:rPr>
              <w:t>01</w:t>
            </w:r>
            <w:r w:rsidR="00EA3D8D" w:rsidRPr="004760CA">
              <w:rPr>
                <w:sz w:val="18"/>
                <w:szCs w:val="18"/>
                <w:lang w:val="en-US"/>
              </w:rPr>
              <w:t>/202</w:t>
            </w:r>
            <w:r w:rsidR="00C322F1" w:rsidRPr="004760CA">
              <w:rPr>
                <w:sz w:val="18"/>
                <w:szCs w:val="18"/>
                <w:lang w:val="en-US"/>
              </w:rPr>
              <w:t>6</w:t>
            </w:r>
            <w:r w:rsidR="00EA3D8D" w:rsidRPr="004760CA">
              <w:rPr>
                <w:sz w:val="18"/>
                <w:szCs w:val="18"/>
                <w:lang w:val="en-US"/>
              </w:rPr>
              <w:t xml:space="preserve"> to </w:t>
            </w:r>
            <w:r w:rsidR="004760CA" w:rsidRPr="004760CA">
              <w:rPr>
                <w:sz w:val="18"/>
                <w:szCs w:val="18"/>
                <w:lang w:val="en-US"/>
              </w:rPr>
              <w:t>13</w:t>
            </w:r>
            <w:r w:rsidR="00EA3D8D" w:rsidRPr="004760CA">
              <w:rPr>
                <w:sz w:val="18"/>
                <w:szCs w:val="18"/>
                <w:lang w:val="en-US"/>
              </w:rPr>
              <w:t>/</w:t>
            </w:r>
            <w:r w:rsidR="004760CA" w:rsidRPr="004760CA">
              <w:rPr>
                <w:sz w:val="18"/>
                <w:szCs w:val="18"/>
                <w:lang w:val="en-US"/>
              </w:rPr>
              <w:t>02</w:t>
            </w:r>
            <w:r w:rsidR="00EA3D8D" w:rsidRPr="004760CA">
              <w:rPr>
                <w:sz w:val="18"/>
                <w:szCs w:val="18"/>
                <w:lang w:val="en-US"/>
              </w:rPr>
              <w:t>/202</w:t>
            </w:r>
            <w:r w:rsidR="00C322F1" w:rsidRPr="004760CA">
              <w:rPr>
                <w:sz w:val="18"/>
                <w:szCs w:val="18"/>
                <w:lang w:val="en-US"/>
              </w:rPr>
              <w:t>6</w:t>
            </w:r>
            <w:r w:rsidR="00EA3D8D" w:rsidRPr="004760CA">
              <w:rPr>
                <w:sz w:val="18"/>
                <w:szCs w:val="18"/>
                <w:lang w:val="en-US"/>
              </w:rPr>
              <w:t xml:space="preserve">). </w:t>
            </w:r>
            <w:r w:rsidR="00D62900" w:rsidRPr="004760CA">
              <w:rPr>
                <w:sz w:val="18"/>
                <w:szCs w:val="18"/>
                <w:lang w:val="en-US"/>
              </w:rPr>
              <w:t xml:space="preserve">No investments are made in the Fund after </w:t>
            </w:r>
            <w:r w:rsidR="004760CA" w:rsidRPr="004760CA">
              <w:rPr>
                <w:sz w:val="18"/>
                <w:szCs w:val="18"/>
                <w:lang w:val="en-US"/>
              </w:rPr>
              <w:t>13</w:t>
            </w:r>
            <w:r w:rsidR="00EA3D8D" w:rsidRPr="004760CA">
              <w:rPr>
                <w:sz w:val="18"/>
                <w:szCs w:val="18"/>
                <w:lang w:val="en-US"/>
              </w:rPr>
              <w:t>/</w:t>
            </w:r>
            <w:r w:rsidR="004760CA" w:rsidRPr="004760CA">
              <w:rPr>
                <w:sz w:val="18"/>
                <w:szCs w:val="18"/>
                <w:lang w:val="en-US"/>
              </w:rPr>
              <w:t>02</w:t>
            </w:r>
            <w:r w:rsidR="00EA3D8D" w:rsidRPr="004760CA">
              <w:rPr>
                <w:sz w:val="18"/>
                <w:szCs w:val="18"/>
                <w:lang w:val="en-US"/>
              </w:rPr>
              <w:t>/202</w:t>
            </w:r>
            <w:r w:rsidR="00C322F1" w:rsidRPr="004760CA">
              <w:rPr>
                <w:sz w:val="18"/>
                <w:szCs w:val="18"/>
                <w:lang w:val="en-US"/>
              </w:rPr>
              <w:t>6</w:t>
            </w:r>
            <w:r w:rsidR="00EA3D8D" w:rsidRPr="004760CA">
              <w:rPr>
                <w:sz w:val="18"/>
                <w:szCs w:val="18"/>
                <w:lang w:val="en-US"/>
              </w:rPr>
              <w:t>.</w:t>
            </w:r>
          </w:p>
        </w:tc>
        <w:tc>
          <w:tcPr>
            <w:tcW w:w="184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0E076D" w14:textId="0A464FC4" w:rsidR="006A45C1" w:rsidRPr="00476ED5" w:rsidRDefault="007C11DE" w:rsidP="000D5C30">
            <w:pPr>
              <w:jc w:val="center"/>
              <w:rPr>
                <w:rFonts w:ascii="Calibri" w:eastAsia="Times New Roman" w:hAnsi="Calibri" w:cs="Times New Roman"/>
                <w:b/>
                <w:bCs/>
                <w:color w:val="000000"/>
                <w:sz w:val="18"/>
                <w:szCs w:val="18"/>
                <w:highlight w:val="lightGray"/>
                <w:lang w:eastAsia="el-GR"/>
              </w:rPr>
            </w:pPr>
            <w:r w:rsidRPr="000B581A">
              <w:rPr>
                <w:rFonts w:ascii="Calibri" w:eastAsia="Times New Roman" w:hAnsi="Calibri" w:cs="Times New Roman"/>
                <w:b/>
                <w:bCs/>
                <w:color w:val="000000"/>
                <w:sz w:val="18"/>
                <w:szCs w:val="18"/>
                <w:lang w:val="en-US" w:eastAsia="el-GR"/>
              </w:rPr>
              <w:t>200</w:t>
            </w:r>
            <w:r w:rsidR="006A45C1" w:rsidRPr="000B581A">
              <w:rPr>
                <w:rFonts w:ascii="Calibri" w:eastAsia="Times New Roman" w:hAnsi="Calibri" w:cs="Times New Roman"/>
                <w:b/>
                <w:bCs/>
                <w:color w:val="000000"/>
                <w:sz w:val="18"/>
                <w:szCs w:val="18"/>
                <w:lang w:eastAsia="el-GR"/>
              </w:rPr>
              <w:t xml:space="preserve"> EUR</w:t>
            </w:r>
          </w:p>
        </w:tc>
      </w:tr>
      <w:tr w:rsidR="006A45C1" w:rsidRPr="00661A21" w14:paraId="0A662433"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1B7E92" w14:textId="77777777" w:rsidR="006A45C1" w:rsidRPr="006A45C1" w:rsidRDefault="006A45C1" w:rsidP="000D5C30">
            <w:pPr>
              <w:rPr>
                <w:b/>
                <w:bCs/>
                <w:sz w:val="18"/>
                <w:szCs w:val="18"/>
              </w:rPr>
            </w:pPr>
            <w:r w:rsidRPr="006A45C1">
              <w:rPr>
                <w:rFonts w:ascii="Calibri" w:eastAsia="Times New Roman" w:hAnsi="Calibri" w:cs="Times New Roman"/>
                <w:b/>
                <w:bCs/>
                <w:color w:val="000000"/>
                <w:sz w:val="18"/>
                <w:szCs w:val="18"/>
                <w:lang w:val="en-US" w:eastAsia="el-GR"/>
              </w:rPr>
              <w:t>Exit costs</w:t>
            </w:r>
          </w:p>
        </w:tc>
        <w:tc>
          <w:tcPr>
            <w:tcW w:w="7510" w:type="dxa"/>
            <w:gridSpan w:val="2"/>
            <w:tcBorders>
              <w:top w:val="single" w:sz="4" w:space="0" w:color="auto"/>
              <w:left w:val="nil"/>
              <w:bottom w:val="single" w:sz="4" w:space="0" w:color="auto"/>
              <w:right w:val="nil"/>
            </w:tcBorders>
            <w:shd w:val="clear" w:color="auto" w:fill="DEEAF6" w:themeFill="accent5" w:themeFillTint="33"/>
            <w:vAlign w:val="center"/>
          </w:tcPr>
          <w:p w14:paraId="76D3A30B" w14:textId="67640DD4" w:rsidR="00057C08" w:rsidRPr="000B581A" w:rsidRDefault="007C11DE" w:rsidP="000D5C30">
            <w:pPr>
              <w:rPr>
                <w:sz w:val="18"/>
                <w:szCs w:val="18"/>
                <w:lang w:val="en-US"/>
              </w:rPr>
            </w:pPr>
            <w:r w:rsidRPr="000B581A">
              <w:rPr>
                <w:sz w:val="18"/>
                <w:szCs w:val="18"/>
                <w:lang w:val="en-US"/>
              </w:rPr>
              <w:t>2</w:t>
            </w:r>
            <w:r w:rsidR="009521EC" w:rsidRPr="000B581A">
              <w:rPr>
                <w:sz w:val="18"/>
                <w:szCs w:val="18"/>
                <w:lang w:val="en-US"/>
              </w:rPr>
              <w:t>,00</w:t>
            </w:r>
            <w:r w:rsidR="00A96327" w:rsidRPr="000B581A">
              <w:rPr>
                <w:sz w:val="18"/>
                <w:szCs w:val="18"/>
                <w:lang w:val="en-US"/>
              </w:rPr>
              <w:t xml:space="preserve"> </w:t>
            </w:r>
            <w:r w:rsidR="005760FC" w:rsidRPr="000B581A">
              <w:rPr>
                <w:sz w:val="18"/>
                <w:szCs w:val="18"/>
                <w:lang w:val="en-US"/>
              </w:rPr>
              <w:t>% of your investment before it is paid out to you</w:t>
            </w:r>
          </w:p>
        </w:tc>
        <w:tc>
          <w:tcPr>
            <w:tcW w:w="184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5678D4" w14:textId="03518A74" w:rsidR="006A45C1" w:rsidRPr="000B581A" w:rsidRDefault="007C11DE" w:rsidP="000D5C30">
            <w:pPr>
              <w:jc w:val="center"/>
              <w:rPr>
                <w:rFonts w:ascii="Calibri" w:eastAsia="Times New Roman" w:hAnsi="Calibri" w:cs="Times New Roman"/>
                <w:b/>
                <w:bCs/>
                <w:color w:val="000000"/>
                <w:sz w:val="18"/>
                <w:szCs w:val="18"/>
                <w:lang w:eastAsia="el-GR"/>
              </w:rPr>
            </w:pPr>
            <w:r w:rsidRPr="000B581A">
              <w:rPr>
                <w:rFonts w:ascii="Calibri" w:eastAsia="Times New Roman" w:hAnsi="Calibri" w:cs="Times New Roman"/>
                <w:b/>
                <w:bCs/>
                <w:color w:val="000000"/>
                <w:sz w:val="18"/>
                <w:szCs w:val="18"/>
                <w:lang w:val="en-US" w:eastAsia="el-GR"/>
              </w:rPr>
              <w:t>190</w:t>
            </w:r>
            <w:r w:rsidR="006A45C1" w:rsidRPr="000B581A">
              <w:rPr>
                <w:rFonts w:ascii="Calibri" w:eastAsia="Times New Roman" w:hAnsi="Calibri" w:cs="Times New Roman"/>
                <w:b/>
                <w:bCs/>
                <w:color w:val="000000"/>
                <w:sz w:val="18"/>
                <w:szCs w:val="18"/>
                <w:lang w:eastAsia="el-GR"/>
              </w:rPr>
              <w:t xml:space="preserve"> EUR</w:t>
            </w:r>
          </w:p>
        </w:tc>
      </w:tr>
      <w:tr w:rsidR="006A45C1" w:rsidRPr="001F3C78" w14:paraId="687D4F0C"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1134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878170" w14:textId="77777777" w:rsidR="006A45C1" w:rsidRPr="000B581A" w:rsidRDefault="006A45C1" w:rsidP="000D5C30">
            <w:pPr>
              <w:rPr>
                <w:rFonts w:ascii="Calibri" w:eastAsia="Times New Roman" w:hAnsi="Calibri" w:cs="Times New Roman"/>
                <w:b/>
                <w:bCs/>
                <w:color w:val="000000"/>
                <w:sz w:val="18"/>
                <w:szCs w:val="18"/>
                <w:lang w:val="en-US" w:eastAsia="el-GR"/>
              </w:rPr>
            </w:pPr>
            <w:r w:rsidRPr="000B581A">
              <w:rPr>
                <w:rFonts w:ascii="Calibri" w:eastAsia="Times New Roman" w:hAnsi="Calibri" w:cs="Times New Roman"/>
                <w:b/>
                <w:bCs/>
                <w:color w:val="000000"/>
                <w:sz w:val="18"/>
                <w:szCs w:val="18"/>
                <w:lang w:val="en-US" w:eastAsia="el-GR"/>
              </w:rPr>
              <w:t>Ongoing costs taken each year</w:t>
            </w:r>
          </w:p>
        </w:tc>
      </w:tr>
      <w:tr w:rsidR="006A45C1" w:rsidRPr="00661A21" w14:paraId="1B63887F"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4E6364" w14:textId="77777777" w:rsidR="006A45C1" w:rsidRPr="006A45C1" w:rsidRDefault="006A45C1" w:rsidP="000D5C30">
            <w:pPr>
              <w:rPr>
                <w:rFonts w:ascii="Calibri" w:eastAsia="Times New Roman" w:hAnsi="Calibri" w:cs="Times New Roman"/>
                <w:color w:val="000000"/>
                <w:sz w:val="18"/>
                <w:szCs w:val="18"/>
                <w:lang w:val="en-US" w:eastAsia="el-GR"/>
              </w:rPr>
            </w:pPr>
            <w:r w:rsidRPr="006A45C1">
              <w:rPr>
                <w:rFonts w:ascii="Calibri" w:eastAsia="Times New Roman" w:hAnsi="Calibri" w:cs="Times New Roman"/>
                <w:b/>
                <w:bCs/>
                <w:color w:val="000000"/>
                <w:sz w:val="18"/>
                <w:szCs w:val="18"/>
                <w:lang w:val="en-US" w:eastAsia="el-GR"/>
              </w:rPr>
              <w:t>Management fees and other administrative or operating costs</w:t>
            </w:r>
          </w:p>
        </w:tc>
        <w:tc>
          <w:tcPr>
            <w:tcW w:w="7510" w:type="dxa"/>
            <w:gridSpan w:val="2"/>
            <w:tcBorders>
              <w:top w:val="single" w:sz="4" w:space="0" w:color="auto"/>
              <w:left w:val="nil"/>
              <w:bottom w:val="single" w:sz="4" w:space="0" w:color="auto"/>
              <w:right w:val="nil"/>
            </w:tcBorders>
            <w:shd w:val="clear" w:color="auto" w:fill="DEEAF6" w:themeFill="accent5" w:themeFillTint="33"/>
            <w:vAlign w:val="center"/>
          </w:tcPr>
          <w:p w14:paraId="1C47B99D" w14:textId="31A6935D" w:rsidR="006A45C1" w:rsidRPr="000B581A" w:rsidRDefault="003C7D97" w:rsidP="000D5C30">
            <w:pPr>
              <w:rPr>
                <w:sz w:val="18"/>
                <w:szCs w:val="18"/>
                <w:lang w:val="en-US"/>
              </w:rPr>
            </w:pPr>
            <w:r w:rsidRPr="000B581A">
              <w:rPr>
                <w:sz w:val="18"/>
                <w:szCs w:val="18"/>
                <w:lang w:val="en-US"/>
              </w:rPr>
              <w:t>3,</w:t>
            </w:r>
            <w:r w:rsidR="00E844BB">
              <w:rPr>
                <w:sz w:val="18"/>
                <w:szCs w:val="18"/>
                <w:lang w:val="en-US"/>
              </w:rPr>
              <w:t>2</w:t>
            </w:r>
            <w:r w:rsidR="008816D4" w:rsidRPr="008816D4">
              <w:rPr>
                <w:sz w:val="18"/>
                <w:szCs w:val="18"/>
                <w:lang w:val="en-US"/>
              </w:rPr>
              <w:t>2</w:t>
            </w:r>
            <w:r w:rsidR="00087A17" w:rsidRPr="000B581A">
              <w:rPr>
                <w:sz w:val="18"/>
                <w:szCs w:val="18"/>
                <w:lang w:val="en-US"/>
              </w:rPr>
              <w:t xml:space="preserve"> </w:t>
            </w:r>
            <w:r w:rsidR="006A45C1" w:rsidRPr="000B581A">
              <w:rPr>
                <w:sz w:val="18"/>
                <w:szCs w:val="18"/>
                <w:lang w:val="en-US"/>
              </w:rPr>
              <w:t>% of the value of your investment per year</w:t>
            </w:r>
            <w:r w:rsidR="002D2E3C" w:rsidRPr="000B581A">
              <w:rPr>
                <w:sz w:val="18"/>
                <w:szCs w:val="18"/>
                <w:lang w:val="en-US"/>
              </w:rPr>
              <w:t>, including the cost of swap contracts.</w:t>
            </w:r>
          </w:p>
          <w:p w14:paraId="06A87E0D" w14:textId="19079D8D" w:rsidR="006A45C1" w:rsidRPr="000B581A" w:rsidRDefault="006A45C1" w:rsidP="000D5C30">
            <w:pPr>
              <w:rPr>
                <w:sz w:val="18"/>
                <w:szCs w:val="18"/>
                <w:lang w:val="en-US"/>
              </w:rPr>
            </w:pPr>
            <w:r w:rsidRPr="000B581A">
              <w:rPr>
                <w:sz w:val="18"/>
                <w:szCs w:val="18"/>
                <w:lang w:val="en-US"/>
              </w:rPr>
              <w:t>This is an estimate based on actual costs over the last year</w:t>
            </w:r>
          </w:p>
        </w:tc>
        <w:tc>
          <w:tcPr>
            <w:tcW w:w="18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F86D2D" w14:textId="77777777" w:rsidR="006A45C1" w:rsidRPr="000B581A" w:rsidRDefault="006A45C1" w:rsidP="000D5C30">
            <w:pPr>
              <w:jc w:val="center"/>
              <w:rPr>
                <w:rFonts w:ascii="Calibri" w:eastAsia="Times New Roman" w:hAnsi="Calibri" w:cs="Times New Roman"/>
                <w:b/>
                <w:bCs/>
                <w:color w:val="000000"/>
                <w:sz w:val="18"/>
                <w:szCs w:val="18"/>
                <w:lang w:val="en-US" w:eastAsia="el-GR"/>
              </w:rPr>
            </w:pPr>
          </w:p>
          <w:p w14:paraId="3D811085" w14:textId="07873C80" w:rsidR="006A45C1" w:rsidRPr="000B581A" w:rsidRDefault="009B2103" w:rsidP="000D5C30">
            <w:pPr>
              <w:jc w:val="center"/>
              <w:rPr>
                <w:b/>
                <w:bCs/>
                <w:sz w:val="18"/>
                <w:szCs w:val="18"/>
                <w:lang w:val="en-US"/>
              </w:rPr>
            </w:pPr>
            <w:r w:rsidRPr="000B581A">
              <w:rPr>
                <w:rFonts w:ascii="Calibri" w:eastAsia="Times New Roman" w:hAnsi="Calibri" w:cs="Times New Roman"/>
                <w:b/>
                <w:bCs/>
                <w:color w:val="000000"/>
                <w:sz w:val="18"/>
                <w:szCs w:val="18"/>
                <w:lang w:val="en-US" w:eastAsia="el-GR"/>
              </w:rPr>
              <w:t>3</w:t>
            </w:r>
            <w:r w:rsidR="00E844BB">
              <w:rPr>
                <w:rFonts w:ascii="Calibri" w:eastAsia="Times New Roman" w:hAnsi="Calibri" w:cs="Times New Roman"/>
                <w:b/>
                <w:bCs/>
                <w:color w:val="000000"/>
                <w:sz w:val="18"/>
                <w:szCs w:val="18"/>
                <w:lang w:val="en-US" w:eastAsia="el-GR"/>
              </w:rPr>
              <w:t>2</w:t>
            </w:r>
            <w:r w:rsidR="00FD702B">
              <w:rPr>
                <w:rFonts w:ascii="Calibri" w:eastAsia="Times New Roman" w:hAnsi="Calibri" w:cs="Times New Roman"/>
                <w:b/>
                <w:bCs/>
                <w:color w:val="000000"/>
                <w:sz w:val="18"/>
                <w:szCs w:val="18"/>
                <w:lang w:eastAsia="el-GR"/>
              </w:rPr>
              <w:t>1</w:t>
            </w:r>
            <w:r w:rsidR="006A45C1" w:rsidRPr="000B581A">
              <w:rPr>
                <w:rFonts w:ascii="Calibri" w:eastAsia="Times New Roman" w:hAnsi="Calibri" w:cs="Times New Roman"/>
                <w:b/>
                <w:bCs/>
                <w:color w:val="000000"/>
                <w:sz w:val="18"/>
                <w:szCs w:val="18"/>
                <w:lang w:eastAsia="el-GR"/>
              </w:rPr>
              <w:t xml:space="preserve"> EUR </w:t>
            </w:r>
          </w:p>
        </w:tc>
      </w:tr>
      <w:tr w:rsidR="006A45C1" w:rsidRPr="00661A21" w14:paraId="350483F2"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78433B" w14:textId="77777777" w:rsidR="006A45C1" w:rsidRPr="006A45C1" w:rsidRDefault="006A45C1" w:rsidP="000D5C30">
            <w:pPr>
              <w:rPr>
                <w:rFonts w:ascii="Calibri" w:eastAsia="Times New Roman" w:hAnsi="Calibri" w:cs="Times New Roman"/>
                <w:b/>
                <w:bCs/>
                <w:color w:val="000000"/>
                <w:sz w:val="18"/>
                <w:szCs w:val="18"/>
                <w:lang w:eastAsia="el-GR"/>
              </w:rPr>
            </w:pPr>
          </w:p>
          <w:p w14:paraId="24B81922" w14:textId="77777777" w:rsidR="006A45C1" w:rsidRPr="006A45C1" w:rsidRDefault="006A45C1" w:rsidP="000D5C30">
            <w:pPr>
              <w:rPr>
                <w:rFonts w:ascii="Calibri" w:eastAsia="Times New Roman" w:hAnsi="Calibri" w:cs="Times New Roman"/>
                <w:b/>
                <w:bCs/>
                <w:color w:val="000000"/>
                <w:sz w:val="18"/>
                <w:szCs w:val="18"/>
                <w:lang w:eastAsia="el-GR"/>
              </w:rPr>
            </w:pPr>
            <w:r w:rsidRPr="006A45C1">
              <w:rPr>
                <w:rFonts w:ascii="Calibri" w:eastAsia="Times New Roman" w:hAnsi="Calibri" w:cs="Times New Roman"/>
                <w:b/>
                <w:bCs/>
                <w:color w:val="000000"/>
                <w:sz w:val="18"/>
                <w:szCs w:val="18"/>
                <w:lang w:val="en-US" w:eastAsia="el-GR"/>
              </w:rPr>
              <w:t>Transaction costs</w:t>
            </w:r>
          </w:p>
        </w:tc>
        <w:tc>
          <w:tcPr>
            <w:tcW w:w="7510" w:type="dxa"/>
            <w:gridSpan w:val="2"/>
            <w:tcBorders>
              <w:top w:val="single" w:sz="4" w:space="0" w:color="auto"/>
              <w:left w:val="nil"/>
              <w:bottom w:val="single" w:sz="4" w:space="0" w:color="auto"/>
              <w:right w:val="nil"/>
            </w:tcBorders>
            <w:shd w:val="clear" w:color="auto" w:fill="DEEAF6" w:themeFill="accent5" w:themeFillTint="33"/>
            <w:vAlign w:val="center"/>
          </w:tcPr>
          <w:p w14:paraId="45A8FA01" w14:textId="76A1EF42" w:rsidR="006A45C1" w:rsidRPr="000B581A" w:rsidRDefault="006A45C1" w:rsidP="000D5C30">
            <w:pPr>
              <w:rPr>
                <w:sz w:val="18"/>
                <w:szCs w:val="18"/>
                <w:lang w:val="en-US"/>
              </w:rPr>
            </w:pPr>
            <w:r w:rsidRPr="000B581A">
              <w:rPr>
                <w:sz w:val="18"/>
                <w:szCs w:val="18"/>
                <w:lang w:val="en-US"/>
              </w:rPr>
              <w:t>0,</w:t>
            </w:r>
            <w:r w:rsidR="003C7D97" w:rsidRPr="000B581A">
              <w:rPr>
                <w:sz w:val="18"/>
                <w:szCs w:val="18"/>
                <w:lang w:val="en-US"/>
              </w:rPr>
              <w:t>0</w:t>
            </w:r>
            <w:r w:rsidR="000B581A" w:rsidRPr="000B581A">
              <w:rPr>
                <w:sz w:val="18"/>
                <w:szCs w:val="18"/>
                <w:lang w:val="en-US"/>
              </w:rPr>
              <w:t>8</w:t>
            </w:r>
            <w:r w:rsidRPr="000B581A">
              <w:rPr>
                <w:sz w:val="18"/>
                <w:szCs w:val="18"/>
                <w:lang w:val="en-US"/>
              </w:rPr>
              <w:t xml:space="preserve"> % of the value of your investment per year. This is an estimate of the costs incurred when we buy and sell the underlying investments for the product. The actual amount will vary depending on how much we buy and sell</w:t>
            </w:r>
          </w:p>
        </w:tc>
        <w:tc>
          <w:tcPr>
            <w:tcW w:w="184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8BCB3B" w14:textId="77777777" w:rsidR="006A45C1" w:rsidRPr="000B581A" w:rsidRDefault="006A45C1" w:rsidP="000D5C30">
            <w:pPr>
              <w:jc w:val="center"/>
              <w:rPr>
                <w:rFonts w:ascii="Calibri" w:eastAsia="Times New Roman" w:hAnsi="Calibri" w:cs="Times New Roman"/>
                <w:b/>
                <w:bCs/>
                <w:color w:val="000000"/>
                <w:sz w:val="18"/>
                <w:szCs w:val="18"/>
                <w:lang w:val="en-US" w:eastAsia="el-GR"/>
              </w:rPr>
            </w:pPr>
          </w:p>
          <w:p w14:paraId="54009297" w14:textId="2F1A82DE" w:rsidR="006A45C1" w:rsidRPr="000B581A" w:rsidRDefault="009B2103" w:rsidP="000D5C30">
            <w:pPr>
              <w:jc w:val="center"/>
              <w:rPr>
                <w:b/>
                <w:bCs/>
                <w:sz w:val="18"/>
                <w:szCs w:val="18"/>
              </w:rPr>
            </w:pPr>
            <w:r w:rsidRPr="000B581A">
              <w:rPr>
                <w:rFonts w:ascii="Calibri" w:eastAsia="Times New Roman" w:hAnsi="Calibri" w:cs="Times New Roman"/>
                <w:b/>
                <w:bCs/>
                <w:color w:val="000000"/>
                <w:sz w:val="18"/>
                <w:szCs w:val="18"/>
                <w:lang w:val="en-US" w:eastAsia="el-GR"/>
              </w:rPr>
              <w:t>8</w:t>
            </w:r>
            <w:r w:rsidR="006A45C1" w:rsidRPr="000B581A">
              <w:rPr>
                <w:rFonts w:ascii="Calibri" w:eastAsia="Times New Roman" w:hAnsi="Calibri" w:cs="Times New Roman"/>
                <w:b/>
                <w:bCs/>
                <w:color w:val="000000"/>
                <w:sz w:val="18"/>
                <w:szCs w:val="18"/>
                <w:lang w:eastAsia="el-GR"/>
              </w:rPr>
              <w:t xml:space="preserve"> EUR</w:t>
            </w:r>
          </w:p>
        </w:tc>
      </w:tr>
      <w:tr w:rsidR="006A45C1" w:rsidRPr="001F3C78" w14:paraId="786603B9"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1134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46B3A2" w14:textId="77777777" w:rsidR="006A45C1" w:rsidRPr="000B581A" w:rsidRDefault="006A45C1" w:rsidP="000D5C30">
            <w:pPr>
              <w:jc w:val="both"/>
              <w:rPr>
                <w:b/>
                <w:bCs/>
                <w:sz w:val="18"/>
                <w:szCs w:val="18"/>
                <w:lang w:val="en-US"/>
              </w:rPr>
            </w:pPr>
            <w:r w:rsidRPr="000B581A">
              <w:rPr>
                <w:b/>
                <w:bCs/>
                <w:sz w:val="18"/>
                <w:szCs w:val="18"/>
                <w:lang w:val="en-US"/>
              </w:rPr>
              <w:t>Incidental costs taken under specific conditions</w:t>
            </w:r>
          </w:p>
        </w:tc>
      </w:tr>
      <w:tr w:rsidR="006A45C1" w:rsidRPr="00661A21" w14:paraId="62A76D55"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2"/>
        </w:trPr>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5FD87B" w14:textId="77777777" w:rsidR="006A45C1" w:rsidRPr="006A45C1" w:rsidRDefault="006A45C1" w:rsidP="000D5C30">
            <w:pPr>
              <w:rPr>
                <w:rFonts w:ascii="Calibri" w:eastAsia="Times New Roman" w:hAnsi="Calibri" w:cs="Times New Roman"/>
                <w:b/>
                <w:bCs/>
                <w:color w:val="000000"/>
                <w:sz w:val="18"/>
                <w:szCs w:val="18"/>
                <w:lang w:eastAsia="el-GR"/>
              </w:rPr>
            </w:pPr>
            <w:r w:rsidRPr="006A45C1">
              <w:rPr>
                <w:rFonts w:ascii="Calibri" w:eastAsia="Times New Roman" w:hAnsi="Calibri" w:cs="Times New Roman"/>
                <w:b/>
                <w:bCs/>
                <w:color w:val="000000"/>
                <w:sz w:val="18"/>
                <w:szCs w:val="18"/>
                <w:lang w:val="en-US" w:eastAsia="el-GR"/>
              </w:rPr>
              <w:t>Performance fees</w:t>
            </w:r>
          </w:p>
        </w:tc>
        <w:tc>
          <w:tcPr>
            <w:tcW w:w="7510" w:type="dxa"/>
            <w:gridSpan w:val="2"/>
            <w:tcBorders>
              <w:top w:val="single" w:sz="4" w:space="0" w:color="auto"/>
              <w:left w:val="nil"/>
              <w:bottom w:val="single" w:sz="4" w:space="0" w:color="auto"/>
              <w:right w:val="nil"/>
            </w:tcBorders>
            <w:shd w:val="clear" w:color="auto" w:fill="DEEAF6" w:themeFill="accent5" w:themeFillTint="33"/>
            <w:vAlign w:val="center"/>
          </w:tcPr>
          <w:p w14:paraId="5300A88B" w14:textId="2CFCED44" w:rsidR="006A45C1" w:rsidRPr="000B581A" w:rsidRDefault="009450FD" w:rsidP="000D5C30">
            <w:pPr>
              <w:rPr>
                <w:sz w:val="18"/>
                <w:szCs w:val="18"/>
                <w:lang w:val="en-US"/>
              </w:rPr>
            </w:pPr>
            <w:r w:rsidRPr="000B581A">
              <w:rPr>
                <w:sz w:val="18"/>
                <w:szCs w:val="18"/>
                <w:lang w:val="en-US"/>
              </w:rPr>
              <w:t>They are not applicable</w:t>
            </w:r>
          </w:p>
        </w:tc>
        <w:tc>
          <w:tcPr>
            <w:tcW w:w="184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844712" w14:textId="7BCB9DF5" w:rsidR="006A45C1" w:rsidRPr="000B581A" w:rsidRDefault="006A45C1" w:rsidP="000D5C30">
            <w:pPr>
              <w:jc w:val="center"/>
              <w:rPr>
                <w:b/>
                <w:bCs/>
                <w:sz w:val="18"/>
                <w:szCs w:val="18"/>
              </w:rPr>
            </w:pPr>
            <w:r w:rsidRPr="000B581A">
              <w:rPr>
                <w:rFonts w:ascii="Calibri" w:eastAsia="Times New Roman" w:hAnsi="Calibri" w:cs="Times New Roman"/>
                <w:b/>
                <w:bCs/>
                <w:color w:val="000000"/>
                <w:sz w:val="18"/>
                <w:szCs w:val="18"/>
                <w:lang w:eastAsia="el-GR"/>
              </w:rPr>
              <w:t>0 EUR</w:t>
            </w:r>
          </w:p>
        </w:tc>
      </w:tr>
      <w:tr w:rsidR="00F95F7B" w:rsidRPr="001F3C78" w14:paraId="53A9C771"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4"/>
            <w:tcBorders>
              <w:top w:val="nil"/>
              <w:left w:val="nil"/>
              <w:bottom w:val="nil"/>
              <w:right w:val="nil"/>
            </w:tcBorders>
          </w:tcPr>
          <w:p w14:paraId="091CA163" w14:textId="77777777" w:rsidR="00640A71" w:rsidRDefault="00640A71" w:rsidP="000D5C30">
            <w:pPr>
              <w:jc w:val="both"/>
              <w:rPr>
                <w:b/>
                <w:bCs/>
                <w:color w:val="1F497D"/>
                <w:lang w:val="en-US"/>
              </w:rPr>
            </w:pPr>
          </w:p>
          <w:p w14:paraId="52103ABA" w14:textId="5E088D2B" w:rsidR="00F95F7B" w:rsidRPr="00F95F7B" w:rsidRDefault="00F95F7B" w:rsidP="000D5C30">
            <w:pPr>
              <w:jc w:val="both"/>
              <w:rPr>
                <w:b/>
                <w:bCs/>
                <w:color w:val="1F497D"/>
                <w:sz w:val="20"/>
                <w:szCs w:val="20"/>
                <w:lang w:val="en-US"/>
              </w:rPr>
            </w:pPr>
            <w:r w:rsidRPr="00F42A1E">
              <w:rPr>
                <w:b/>
                <w:bCs/>
                <w:color w:val="1F497D"/>
                <w:lang w:val="en-US"/>
              </w:rPr>
              <w:t>How long should I hold it and can I take money out early?</w:t>
            </w:r>
          </w:p>
        </w:tc>
      </w:tr>
      <w:tr w:rsidR="00F95F7B" w:rsidRPr="005159F1" w14:paraId="68E05E52"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4"/>
            <w:tcBorders>
              <w:top w:val="nil"/>
              <w:left w:val="nil"/>
              <w:bottom w:val="nil"/>
              <w:right w:val="nil"/>
            </w:tcBorders>
            <w:shd w:val="clear" w:color="auto" w:fill="DEEAF6" w:themeFill="accent5" w:themeFillTint="33"/>
          </w:tcPr>
          <w:p w14:paraId="03477F04" w14:textId="1E418516" w:rsidR="00F95F7B" w:rsidRPr="00F44448" w:rsidRDefault="00F95F7B" w:rsidP="000D5C30">
            <w:pPr>
              <w:jc w:val="both"/>
              <w:rPr>
                <w:b/>
                <w:bCs/>
                <w:sz w:val="18"/>
                <w:szCs w:val="18"/>
              </w:rPr>
            </w:pPr>
            <w:r>
              <w:rPr>
                <w:b/>
                <w:bCs/>
                <w:sz w:val="18"/>
                <w:szCs w:val="18"/>
                <w:lang w:val="en-US"/>
              </w:rPr>
              <w:t>Recommended holding period</w:t>
            </w:r>
            <w:r w:rsidRPr="008F5FA8">
              <w:rPr>
                <w:b/>
                <w:bCs/>
                <w:sz w:val="18"/>
                <w:szCs w:val="18"/>
              </w:rPr>
              <w:t xml:space="preserve">: </w:t>
            </w:r>
            <w:r w:rsidR="003C7D97">
              <w:rPr>
                <w:b/>
                <w:bCs/>
                <w:sz w:val="18"/>
                <w:szCs w:val="18"/>
                <w:lang w:val="en-US"/>
              </w:rPr>
              <w:t xml:space="preserve">5 </w:t>
            </w:r>
            <w:r>
              <w:rPr>
                <w:b/>
                <w:bCs/>
                <w:sz w:val="18"/>
                <w:szCs w:val="18"/>
                <w:lang w:val="en-US"/>
              </w:rPr>
              <w:t>years</w:t>
            </w:r>
          </w:p>
        </w:tc>
      </w:tr>
      <w:tr w:rsidR="00F95F7B" w:rsidRPr="001F3C78" w14:paraId="7CD490A8"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4"/>
            <w:tcBorders>
              <w:top w:val="nil"/>
              <w:left w:val="nil"/>
              <w:bottom w:val="nil"/>
              <w:right w:val="nil"/>
            </w:tcBorders>
          </w:tcPr>
          <w:p w14:paraId="6AF63D27" w14:textId="77777777" w:rsidR="007A4E79" w:rsidRDefault="007A4E79" w:rsidP="000D5C30">
            <w:pPr>
              <w:spacing w:line="120" w:lineRule="auto"/>
              <w:jc w:val="both"/>
              <w:rPr>
                <w:sz w:val="18"/>
                <w:szCs w:val="18"/>
                <w:lang w:val="en-US"/>
              </w:rPr>
            </w:pPr>
          </w:p>
          <w:p w14:paraId="5C31C80D" w14:textId="586E2A1D" w:rsidR="00F95F7B" w:rsidRPr="00640A71" w:rsidRDefault="008B2971" w:rsidP="000D5C30">
            <w:pPr>
              <w:jc w:val="both"/>
              <w:rPr>
                <w:sz w:val="18"/>
                <w:szCs w:val="18"/>
                <w:lang w:val="en-US"/>
              </w:rPr>
            </w:pPr>
            <w:r w:rsidRPr="00640A71">
              <w:rPr>
                <w:sz w:val="18"/>
                <w:szCs w:val="18"/>
                <w:lang w:val="en-US"/>
              </w:rPr>
              <w:t xml:space="preserve">The Fund has no minimum </w:t>
            </w:r>
            <w:r>
              <w:rPr>
                <w:sz w:val="18"/>
                <w:szCs w:val="18"/>
                <w:lang w:val="en-US"/>
              </w:rPr>
              <w:t>required</w:t>
            </w:r>
            <w:r w:rsidRPr="00640A71">
              <w:rPr>
                <w:sz w:val="18"/>
                <w:szCs w:val="18"/>
                <w:lang w:val="en-US"/>
              </w:rPr>
              <w:t xml:space="preserve"> holding period. </w:t>
            </w:r>
            <w:r w:rsidR="00970EE2">
              <w:rPr>
                <w:sz w:val="18"/>
                <w:szCs w:val="18"/>
                <w:lang w:val="en-US"/>
              </w:rPr>
              <w:t>However</w:t>
            </w:r>
            <w:r w:rsidRPr="008B30CB">
              <w:rPr>
                <w:sz w:val="18"/>
                <w:szCs w:val="18"/>
                <w:lang w:val="en-US"/>
              </w:rPr>
              <w:t xml:space="preserve">, it is recommended for investors to maintain their investment </w:t>
            </w:r>
            <w:r w:rsidRPr="003247D3">
              <w:rPr>
                <w:sz w:val="18"/>
                <w:szCs w:val="18"/>
                <w:lang w:val="en-US"/>
              </w:rPr>
              <w:t xml:space="preserve">for </w:t>
            </w:r>
            <w:r w:rsidR="003C7D97">
              <w:rPr>
                <w:sz w:val="18"/>
                <w:szCs w:val="18"/>
                <w:lang w:val="en-US"/>
              </w:rPr>
              <w:t>5</w:t>
            </w:r>
            <w:r w:rsidRPr="003247D3">
              <w:rPr>
                <w:sz w:val="18"/>
                <w:szCs w:val="18"/>
                <w:lang w:val="en-US"/>
              </w:rPr>
              <w:t xml:space="preserve"> years (recommended holding period or RHP). This RHP is chosen based on an assessment of the asset mix risk</w:t>
            </w:r>
            <w:r w:rsidR="001B229B">
              <w:rPr>
                <w:sz w:val="18"/>
                <w:szCs w:val="18"/>
                <w:lang w:val="en-US"/>
              </w:rPr>
              <w:t>,</w:t>
            </w:r>
            <w:r w:rsidRPr="003247D3">
              <w:rPr>
                <w:sz w:val="18"/>
                <w:szCs w:val="18"/>
                <w:lang w:val="en-US"/>
              </w:rPr>
              <w:t xml:space="preserve"> reward profile and costs of the Fund. </w:t>
            </w:r>
            <w:r w:rsidR="00C75050" w:rsidRPr="00394619">
              <w:rPr>
                <w:sz w:val="18"/>
                <w:szCs w:val="18"/>
                <w:lang w:val="en-US"/>
              </w:rPr>
              <w:t>You have the option to redeem part or all of your investment</w:t>
            </w:r>
            <w:r w:rsidR="00C75050">
              <w:rPr>
                <w:sz w:val="18"/>
                <w:szCs w:val="18"/>
                <w:lang w:val="en-US"/>
              </w:rPr>
              <w:t>,</w:t>
            </w:r>
            <w:r w:rsidR="00C75050" w:rsidRPr="00394619">
              <w:rPr>
                <w:sz w:val="18"/>
                <w:szCs w:val="18"/>
                <w:lang w:val="en-US"/>
              </w:rPr>
              <w:t xml:space="preserve"> any business day with the respective redemption fee (if any).</w:t>
            </w:r>
            <w:r w:rsidR="003247D3" w:rsidRPr="009521EC">
              <w:rPr>
                <w:sz w:val="18"/>
                <w:szCs w:val="18"/>
                <w:lang w:val="en-US"/>
              </w:rPr>
              <w:t xml:space="preserve"> </w:t>
            </w:r>
            <w:r w:rsidR="00B62A36">
              <w:rPr>
                <w:sz w:val="18"/>
                <w:szCs w:val="18"/>
                <w:lang w:val="en-US"/>
              </w:rPr>
              <w:t>The redemption of Fund’s units is mandatory when requested by the unitholder in accordance with the specific provisions set out in article 7 of the Fund’s Regulation. </w:t>
            </w:r>
          </w:p>
        </w:tc>
      </w:tr>
      <w:tr w:rsidR="00EB5C79" w:rsidRPr="005159F1" w14:paraId="704B530D"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4"/>
            <w:tcBorders>
              <w:top w:val="nil"/>
              <w:left w:val="nil"/>
              <w:bottom w:val="nil"/>
              <w:right w:val="nil"/>
            </w:tcBorders>
          </w:tcPr>
          <w:p w14:paraId="52F77B74" w14:textId="77777777" w:rsidR="007A4E79" w:rsidRDefault="007A4E79" w:rsidP="000D5C30">
            <w:pPr>
              <w:jc w:val="both"/>
              <w:rPr>
                <w:b/>
                <w:bCs/>
                <w:color w:val="1F497D"/>
                <w:sz w:val="18"/>
                <w:szCs w:val="18"/>
                <w:lang w:val="en-US"/>
              </w:rPr>
            </w:pPr>
          </w:p>
          <w:p w14:paraId="3D11D5FE" w14:textId="40854010" w:rsidR="00EB5C79" w:rsidRPr="00640A71" w:rsidRDefault="00EB5C79" w:rsidP="000D5C30">
            <w:pPr>
              <w:jc w:val="both"/>
              <w:rPr>
                <w:b/>
                <w:bCs/>
                <w:color w:val="4472C4" w:themeColor="accent1"/>
                <w:sz w:val="18"/>
                <w:szCs w:val="18"/>
              </w:rPr>
            </w:pPr>
            <w:r w:rsidRPr="00B26055">
              <w:rPr>
                <w:b/>
                <w:bCs/>
                <w:color w:val="1F497D"/>
                <w:lang w:val="en-US"/>
              </w:rPr>
              <w:t>How can I complain?</w:t>
            </w:r>
            <w:r w:rsidRPr="00640A71">
              <w:rPr>
                <w:b/>
                <w:bCs/>
                <w:color w:val="1F497D"/>
                <w:sz w:val="18"/>
                <w:szCs w:val="18"/>
              </w:rPr>
              <w:t xml:space="preserve"> </w:t>
            </w:r>
          </w:p>
        </w:tc>
      </w:tr>
      <w:tr w:rsidR="00EB5C79" w:rsidRPr="001F3C78" w14:paraId="67EA70B9"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4"/>
            <w:tcBorders>
              <w:top w:val="nil"/>
              <w:left w:val="nil"/>
              <w:bottom w:val="nil"/>
              <w:right w:val="nil"/>
            </w:tcBorders>
          </w:tcPr>
          <w:p w14:paraId="2E21F616" w14:textId="5DA04805" w:rsidR="00EB5C79" w:rsidRPr="00640A71" w:rsidRDefault="00EB5C79" w:rsidP="000D5C30">
            <w:pPr>
              <w:jc w:val="both"/>
              <w:rPr>
                <w:sz w:val="18"/>
                <w:szCs w:val="18"/>
                <w:lang w:val="en-US"/>
              </w:rPr>
            </w:pPr>
            <w:r w:rsidRPr="00640A71">
              <w:rPr>
                <w:rFonts w:eastAsia="Calibri" w:cstheme="minorHAnsi"/>
                <w:sz w:val="18"/>
                <w:szCs w:val="18"/>
                <w:lang w:val="en-US"/>
              </w:rPr>
              <w:t>In case you wish to file complaints with respect to the Fund or the Company’s or the person that offers advice with respect to the Fund</w:t>
            </w:r>
            <w:r w:rsidR="0005505C" w:rsidRPr="002D3232">
              <w:rPr>
                <w:rFonts w:eastAsia="Calibri" w:cstheme="minorHAnsi"/>
                <w:sz w:val="18"/>
                <w:szCs w:val="18"/>
                <w:lang w:val="en-US"/>
              </w:rPr>
              <w:t xml:space="preserve"> or the person selling</w:t>
            </w:r>
            <w:r w:rsidR="001B229B">
              <w:rPr>
                <w:rFonts w:eastAsia="Calibri" w:cstheme="minorHAnsi"/>
                <w:sz w:val="18"/>
                <w:szCs w:val="18"/>
                <w:lang w:val="en-US"/>
              </w:rPr>
              <w:t xml:space="preserve"> you</w:t>
            </w:r>
            <w:r w:rsidR="0005505C" w:rsidRPr="002D3232">
              <w:rPr>
                <w:rFonts w:eastAsia="Calibri" w:cstheme="minorHAnsi"/>
                <w:sz w:val="18"/>
                <w:szCs w:val="18"/>
                <w:lang w:val="en-US"/>
              </w:rPr>
              <w:t xml:space="preserve"> units of the Fund</w:t>
            </w:r>
            <w:r w:rsidRPr="00640A71">
              <w:rPr>
                <w:rFonts w:eastAsia="Calibri" w:cstheme="minorHAnsi"/>
                <w:sz w:val="18"/>
                <w:szCs w:val="18"/>
                <w:lang w:val="en-US"/>
              </w:rPr>
              <w:t xml:space="preserve">, you may address to the Company or Alpha Bank branches, either electronically at </w:t>
            </w:r>
            <w:hyperlink r:id="rId15" w:history="1">
              <w:r w:rsidRPr="00640A71">
                <w:rPr>
                  <w:rStyle w:val="Hyperlink"/>
                  <w:rFonts w:ascii="Calibri" w:eastAsia="Calibri" w:hAnsi="Calibri" w:cs="Times New Roman"/>
                  <w:sz w:val="18"/>
                  <w:szCs w:val="18"/>
                  <w:lang w:val="en-US"/>
                </w:rPr>
                <w:t>https://www.alphamutual.gr/en/contact-us</w:t>
              </w:r>
            </w:hyperlink>
            <w:r w:rsidRPr="00640A71">
              <w:rPr>
                <w:rStyle w:val="Hyperlink"/>
                <w:rFonts w:ascii="Calibri" w:eastAsia="Calibri" w:hAnsi="Calibri" w:cs="Times New Roman"/>
                <w:sz w:val="18"/>
                <w:szCs w:val="18"/>
                <w:lang w:val="en-US"/>
              </w:rPr>
              <w:t xml:space="preserve"> </w:t>
            </w:r>
            <w:r w:rsidRPr="00640A71">
              <w:rPr>
                <w:rFonts w:eastAsia="Calibri" w:cstheme="minorHAnsi"/>
                <w:sz w:val="18"/>
                <w:szCs w:val="18"/>
                <w:lang w:val="en-US"/>
              </w:rPr>
              <w:t xml:space="preserve">and email at </w:t>
            </w:r>
            <w:hyperlink r:id="rId16" w:history="1">
              <w:r w:rsidRPr="00640A71">
                <w:rPr>
                  <w:rStyle w:val="Hyperlink"/>
                  <w:rFonts w:ascii="Calibri" w:eastAsia="Calibri" w:hAnsi="Calibri" w:cs="Times New Roman"/>
                  <w:sz w:val="18"/>
                  <w:szCs w:val="18"/>
                  <w:lang w:val="en-US"/>
                </w:rPr>
                <w:t>info@alphaasset.gr</w:t>
              </w:r>
            </w:hyperlink>
            <w:r w:rsidRPr="00640A71">
              <w:rPr>
                <w:rFonts w:eastAsia="Calibri" w:cstheme="minorHAnsi"/>
                <w:sz w:val="18"/>
                <w:szCs w:val="18"/>
                <w:lang w:val="en-US"/>
              </w:rPr>
              <w:t xml:space="preserve">, or call at +30 210 3266505 (Alpha Asset Management </w:t>
            </w:r>
            <w:r w:rsidR="00640A71">
              <w:rPr>
                <w:rFonts w:eastAsia="Calibri" w:cstheme="minorHAnsi"/>
                <w:sz w:val="18"/>
                <w:szCs w:val="18"/>
                <w:lang w:val="en-US"/>
              </w:rPr>
              <w:t>M.F.M.C.</w:t>
            </w:r>
            <w:r w:rsidRPr="00640A71">
              <w:rPr>
                <w:rFonts w:eastAsia="Calibri" w:cstheme="minorHAnsi"/>
                <w:sz w:val="18"/>
                <w:szCs w:val="18"/>
                <w:lang w:val="en-US"/>
              </w:rPr>
              <w:t xml:space="preserve">), or send a fax at +30 210 326 6506, or via post using the address Panepistimiou 45, 105 64 Athens (Company head office) and all Alpha Bank branches (main distributor). </w:t>
            </w:r>
          </w:p>
        </w:tc>
      </w:tr>
      <w:tr w:rsidR="00EB5C79" w:rsidRPr="005159F1" w14:paraId="10E151C1"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trPr>
        <w:tc>
          <w:tcPr>
            <w:tcW w:w="11341" w:type="dxa"/>
            <w:gridSpan w:val="4"/>
            <w:tcBorders>
              <w:top w:val="nil"/>
              <w:left w:val="nil"/>
              <w:bottom w:val="nil"/>
              <w:right w:val="nil"/>
            </w:tcBorders>
          </w:tcPr>
          <w:p w14:paraId="1497E81F" w14:textId="77777777" w:rsidR="007A4E79" w:rsidRDefault="007A4E79" w:rsidP="000D5C30">
            <w:pPr>
              <w:jc w:val="both"/>
              <w:rPr>
                <w:b/>
                <w:bCs/>
                <w:color w:val="1F497D"/>
                <w:sz w:val="18"/>
                <w:szCs w:val="18"/>
                <w:lang w:val="en-US"/>
              </w:rPr>
            </w:pPr>
          </w:p>
          <w:p w14:paraId="02870541" w14:textId="7B480294" w:rsidR="00EB5C79" w:rsidRPr="00640A71" w:rsidRDefault="00EB5C79" w:rsidP="000D5C30">
            <w:pPr>
              <w:jc w:val="both"/>
              <w:rPr>
                <w:b/>
                <w:bCs/>
                <w:color w:val="4472C4" w:themeColor="accent1"/>
                <w:sz w:val="18"/>
                <w:szCs w:val="18"/>
              </w:rPr>
            </w:pPr>
            <w:r w:rsidRPr="00B26055">
              <w:rPr>
                <w:b/>
                <w:bCs/>
                <w:color w:val="1F497D"/>
                <w:lang w:val="en-US"/>
              </w:rPr>
              <w:t>Other relevant Information</w:t>
            </w:r>
          </w:p>
        </w:tc>
      </w:tr>
      <w:tr w:rsidR="00EB5C79" w:rsidRPr="001F3C78" w14:paraId="2EA0897E" w14:textId="77777777" w:rsidTr="00BC09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4"/>
        </w:trPr>
        <w:tc>
          <w:tcPr>
            <w:tcW w:w="11341" w:type="dxa"/>
            <w:gridSpan w:val="4"/>
            <w:tcBorders>
              <w:top w:val="nil"/>
              <w:left w:val="nil"/>
              <w:bottom w:val="nil"/>
              <w:right w:val="nil"/>
            </w:tcBorders>
          </w:tcPr>
          <w:p w14:paraId="6D2E6B87" w14:textId="77777777" w:rsidR="00D57B5C" w:rsidRDefault="00EB5C79" w:rsidP="000D5C30">
            <w:pPr>
              <w:jc w:val="both"/>
              <w:rPr>
                <w:sz w:val="18"/>
                <w:szCs w:val="18"/>
                <w:lang w:val="en-US"/>
              </w:rPr>
            </w:pPr>
            <w:r w:rsidRPr="00640A71">
              <w:rPr>
                <w:sz w:val="18"/>
                <w:szCs w:val="18"/>
                <w:lang w:val="en-US"/>
              </w:rPr>
              <w:t xml:space="preserve">Possible reviews or updates in the key information documents for investors are available on the website </w:t>
            </w:r>
            <w:hyperlink r:id="rId17" w:history="1">
              <w:r w:rsidRPr="00640A71">
                <w:rPr>
                  <w:rStyle w:val="Hyperlink"/>
                  <w:sz w:val="18"/>
                  <w:szCs w:val="18"/>
                  <w:lang w:val="en-US"/>
                </w:rPr>
                <w:t>www.alphamutual.gr</w:t>
              </w:r>
            </w:hyperlink>
            <w:r w:rsidRPr="00640A71">
              <w:rPr>
                <w:sz w:val="18"/>
                <w:szCs w:val="18"/>
                <w:lang w:val="en-US"/>
              </w:rPr>
              <w:t xml:space="preserve">. </w:t>
            </w:r>
            <w:r w:rsidR="008B2971">
              <w:rPr>
                <w:sz w:val="18"/>
                <w:szCs w:val="18"/>
                <w:lang w:val="en-US"/>
              </w:rPr>
              <w:t xml:space="preserve"> </w:t>
            </w:r>
            <w:r w:rsidRPr="00640A71">
              <w:rPr>
                <w:sz w:val="18"/>
                <w:szCs w:val="18"/>
                <w:lang w:val="en-US"/>
              </w:rPr>
              <w:t>Any additional information documents can be provided only upon your request.</w:t>
            </w:r>
          </w:p>
          <w:p w14:paraId="000124BB" w14:textId="48137F30" w:rsidR="00EB5C79" w:rsidRDefault="00D57B5C" w:rsidP="000D5C30">
            <w:pPr>
              <w:jc w:val="both"/>
              <w:rPr>
                <w:sz w:val="18"/>
                <w:szCs w:val="18"/>
                <w:lang w:val="en-US"/>
              </w:rPr>
            </w:pPr>
            <w:r w:rsidRPr="00D57B5C">
              <w:rPr>
                <w:sz w:val="18"/>
                <w:szCs w:val="18"/>
                <w:lang w:val="en-US"/>
              </w:rPr>
              <w:t>Alpha Asset Management M.F.M.C is responsible for the content of this document only if it is misleading, inaccurate, or inconsistent with the relevant parts of the Prospectus for the Fund.</w:t>
            </w:r>
            <w:r w:rsidR="00EB5C79" w:rsidRPr="00640A71">
              <w:rPr>
                <w:sz w:val="18"/>
                <w:szCs w:val="18"/>
                <w:lang w:val="en-US"/>
              </w:rPr>
              <w:t xml:space="preserve"> </w:t>
            </w:r>
          </w:p>
          <w:p w14:paraId="67B89106" w14:textId="6299E492" w:rsidR="002C7310" w:rsidRPr="00640A71" w:rsidRDefault="002C7310" w:rsidP="000D5C30">
            <w:pPr>
              <w:jc w:val="both"/>
              <w:rPr>
                <w:rFonts w:ascii="Calibri" w:eastAsia="Calibri" w:hAnsi="Calibri" w:cs="Times New Roman"/>
                <w:color w:val="FF0000"/>
                <w:sz w:val="18"/>
                <w:szCs w:val="18"/>
                <w:lang w:val="en-US"/>
              </w:rPr>
            </w:pPr>
            <w:r w:rsidRPr="001C7FDB">
              <w:rPr>
                <w:rFonts w:ascii="Calibri" w:eastAsia="Calibri" w:hAnsi="Calibri" w:cs="Times New Roman"/>
                <w:sz w:val="18"/>
                <w:szCs w:val="18"/>
                <w:lang w:val="en-US"/>
              </w:rPr>
              <w:t xml:space="preserve">The Company's Remuneration Policy, which includes, among other things, a description of how remuneration and benefits are calculated, as well as the identity of the persons responsible for </w:t>
            </w:r>
            <w:r w:rsidR="001B229B">
              <w:rPr>
                <w:rFonts w:ascii="Calibri" w:eastAsia="Calibri" w:hAnsi="Calibri" w:cs="Times New Roman"/>
                <w:sz w:val="18"/>
                <w:szCs w:val="18"/>
                <w:lang w:val="en-US"/>
              </w:rPr>
              <w:t>awardin</w:t>
            </w:r>
            <w:r w:rsidRPr="001C7FDB">
              <w:rPr>
                <w:rFonts w:ascii="Calibri" w:eastAsia="Calibri" w:hAnsi="Calibri" w:cs="Times New Roman"/>
                <w:sz w:val="18"/>
                <w:szCs w:val="18"/>
                <w:lang w:val="en-US"/>
              </w:rPr>
              <w:t xml:space="preserve">g them, is available in printed form, upon request and free of charge, as well as through the Company's website at </w:t>
            </w:r>
            <w:hyperlink r:id="rId18" w:history="1">
              <w:r w:rsidRPr="001C7FDB">
                <w:rPr>
                  <w:rStyle w:val="Hyperlink"/>
                  <w:sz w:val="18"/>
                  <w:szCs w:val="18"/>
                  <w:lang w:val="en-US"/>
                </w:rPr>
                <w:t>www.alphamutual.gr</w:t>
              </w:r>
            </w:hyperlink>
            <w:r w:rsidRPr="001C7FDB">
              <w:rPr>
                <w:lang w:val="en-US"/>
              </w:rPr>
              <w:t>.</w:t>
            </w:r>
          </w:p>
        </w:tc>
      </w:tr>
    </w:tbl>
    <w:p w14:paraId="63F9465B" w14:textId="77777777" w:rsidR="00D7745F" w:rsidRPr="00F95F7B" w:rsidRDefault="00D7745F" w:rsidP="000609C7">
      <w:pPr>
        <w:rPr>
          <w:lang w:val="en-US"/>
        </w:rPr>
      </w:pPr>
    </w:p>
    <w:sectPr w:rsidR="00D7745F" w:rsidRPr="00F95F7B" w:rsidSect="00643696">
      <w:headerReference w:type="even" r:id="rId19"/>
      <w:headerReference w:type="default" r:id="rId20"/>
      <w:footerReference w:type="even" r:id="rId21"/>
      <w:footerReference w:type="default" r:id="rId22"/>
      <w:headerReference w:type="first" r:id="rId23"/>
      <w:footerReference w:type="first" r:id="rId24"/>
      <w:pgSz w:w="11906" w:h="16838" w:code="9"/>
      <w:pgMar w:top="232" w:right="1797" w:bottom="232"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81EC" w14:textId="77777777" w:rsidR="007F754D" w:rsidRDefault="007F754D" w:rsidP="002C1C55">
      <w:pPr>
        <w:spacing w:after="0" w:line="240" w:lineRule="auto"/>
      </w:pPr>
      <w:r>
        <w:separator/>
      </w:r>
    </w:p>
  </w:endnote>
  <w:endnote w:type="continuationSeparator" w:id="0">
    <w:p w14:paraId="6C9D001A" w14:textId="77777777" w:rsidR="007F754D" w:rsidRDefault="007F754D" w:rsidP="002C1C55">
      <w:pPr>
        <w:spacing w:after="0" w:line="240" w:lineRule="auto"/>
      </w:pPr>
      <w:r>
        <w:continuationSeparator/>
      </w:r>
    </w:p>
  </w:endnote>
  <w:endnote w:type="continuationNotice" w:id="1">
    <w:p w14:paraId="222467B6" w14:textId="77777777" w:rsidR="007F754D" w:rsidRDefault="007F7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F577" w14:textId="77777777" w:rsidR="00684DCD" w:rsidRDefault="00684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29487968"/>
      <w:docPartObj>
        <w:docPartGallery w:val="Page Numbers (Bottom of Page)"/>
        <w:docPartUnique/>
      </w:docPartObj>
    </w:sdtPr>
    <w:sdtEndPr>
      <w:rPr>
        <w:noProof/>
      </w:rPr>
    </w:sdtEndPr>
    <w:sdtContent>
      <w:p w14:paraId="3A9F8033" w14:textId="4546EA75" w:rsidR="00684DCD" w:rsidRPr="00684DCD" w:rsidRDefault="00684DCD">
        <w:pPr>
          <w:pStyle w:val="Footer"/>
          <w:jc w:val="center"/>
          <w:rPr>
            <w:sz w:val="18"/>
            <w:szCs w:val="18"/>
          </w:rPr>
        </w:pPr>
        <w:r w:rsidRPr="00684DCD">
          <w:rPr>
            <w:sz w:val="18"/>
            <w:szCs w:val="18"/>
          </w:rPr>
          <w:fldChar w:fldCharType="begin"/>
        </w:r>
        <w:r w:rsidRPr="00684DCD">
          <w:rPr>
            <w:sz w:val="18"/>
            <w:szCs w:val="18"/>
          </w:rPr>
          <w:instrText xml:space="preserve"> PAGE   \* MERGEFORMAT </w:instrText>
        </w:r>
        <w:r w:rsidRPr="00684DCD">
          <w:rPr>
            <w:sz w:val="18"/>
            <w:szCs w:val="18"/>
          </w:rPr>
          <w:fldChar w:fldCharType="separate"/>
        </w:r>
        <w:r w:rsidRPr="00684DCD">
          <w:rPr>
            <w:noProof/>
            <w:sz w:val="18"/>
            <w:szCs w:val="18"/>
          </w:rPr>
          <w:t>2</w:t>
        </w:r>
        <w:r w:rsidRPr="00684DCD">
          <w:rPr>
            <w:noProof/>
            <w:sz w:val="18"/>
            <w:szCs w:val="18"/>
          </w:rPr>
          <w:fldChar w:fldCharType="end"/>
        </w:r>
      </w:p>
    </w:sdtContent>
  </w:sdt>
  <w:p w14:paraId="4A9B5C76" w14:textId="77777777" w:rsidR="00684DCD" w:rsidRPr="00684DCD" w:rsidRDefault="00684DCD">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5AD8" w14:textId="77777777" w:rsidR="00684DCD" w:rsidRDefault="00684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38776" w14:textId="77777777" w:rsidR="007F754D" w:rsidRDefault="007F754D" w:rsidP="002C1C55">
      <w:pPr>
        <w:spacing w:after="0" w:line="240" w:lineRule="auto"/>
      </w:pPr>
      <w:r>
        <w:separator/>
      </w:r>
    </w:p>
  </w:footnote>
  <w:footnote w:type="continuationSeparator" w:id="0">
    <w:p w14:paraId="19BAFD45" w14:textId="77777777" w:rsidR="007F754D" w:rsidRDefault="007F754D" w:rsidP="002C1C55">
      <w:pPr>
        <w:spacing w:after="0" w:line="240" w:lineRule="auto"/>
      </w:pPr>
      <w:r>
        <w:continuationSeparator/>
      </w:r>
    </w:p>
  </w:footnote>
  <w:footnote w:type="continuationNotice" w:id="1">
    <w:p w14:paraId="640E50B7" w14:textId="77777777" w:rsidR="007F754D" w:rsidRDefault="007F75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A91" w14:textId="77777777" w:rsidR="00684DCD" w:rsidRDefault="00684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E61D" w14:textId="77777777" w:rsidR="00684DCD" w:rsidRDefault="00684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B7B1" w14:textId="77777777" w:rsidR="00684DCD" w:rsidRDefault="00684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841"/>
    <w:multiLevelType w:val="hybridMultilevel"/>
    <w:tmpl w:val="27AEAAA4"/>
    <w:lvl w:ilvl="0" w:tplc="CB76FA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EA79D9"/>
    <w:multiLevelType w:val="hybridMultilevel"/>
    <w:tmpl w:val="8708A3C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3B436DE"/>
    <w:multiLevelType w:val="hybridMultilevel"/>
    <w:tmpl w:val="24CC0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9F5022"/>
    <w:multiLevelType w:val="hybridMultilevel"/>
    <w:tmpl w:val="EAB492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0E671FA"/>
    <w:multiLevelType w:val="hybridMultilevel"/>
    <w:tmpl w:val="CE3445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45F3897"/>
    <w:multiLevelType w:val="hybridMultilevel"/>
    <w:tmpl w:val="5300AB5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CFE79B8"/>
    <w:multiLevelType w:val="hybridMultilevel"/>
    <w:tmpl w:val="D8C0E0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7117D2D"/>
    <w:multiLevelType w:val="hybridMultilevel"/>
    <w:tmpl w:val="1186C4C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7DA6BB9"/>
    <w:multiLevelType w:val="hybridMultilevel"/>
    <w:tmpl w:val="130CEF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FEE501C"/>
    <w:multiLevelType w:val="hybridMultilevel"/>
    <w:tmpl w:val="A95834F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0C327F2"/>
    <w:multiLevelType w:val="hybridMultilevel"/>
    <w:tmpl w:val="24623904"/>
    <w:lvl w:ilvl="0" w:tplc="246CB7D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A7A7CBF"/>
    <w:multiLevelType w:val="hybridMultilevel"/>
    <w:tmpl w:val="00FAD6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6CD42DA"/>
    <w:multiLevelType w:val="hybridMultilevel"/>
    <w:tmpl w:val="043E080E"/>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92712"/>
    <w:multiLevelType w:val="hybridMultilevel"/>
    <w:tmpl w:val="3F503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FB737CF"/>
    <w:multiLevelType w:val="hybridMultilevel"/>
    <w:tmpl w:val="84A4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941676"/>
    <w:multiLevelType w:val="hybridMultilevel"/>
    <w:tmpl w:val="AFBAFF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2B74E26"/>
    <w:multiLevelType w:val="hybridMultilevel"/>
    <w:tmpl w:val="98603F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8350EA4"/>
    <w:multiLevelType w:val="hybridMultilevel"/>
    <w:tmpl w:val="A8C8849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A211B"/>
    <w:multiLevelType w:val="hybridMultilevel"/>
    <w:tmpl w:val="9448145C"/>
    <w:lvl w:ilvl="0" w:tplc="8480A5A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CE32F1"/>
    <w:multiLevelType w:val="hybridMultilevel"/>
    <w:tmpl w:val="1B8E59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9578869">
    <w:abstractNumId w:val="15"/>
  </w:num>
  <w:num w:numId="2" w16cid:durableId="1567033547">
    <w:abstractNumId w:val="10"/>
  </w:num>
  <w:num w:numId="3" w16cid:durableId="1550385964">
    <w:abstractNumId w:val="13"/>
  </w:num>
  <w:num w:numId="4" w16cid:durableId="304092100">
    <w:abstractNumId w:val="8"/>
  </w:num>
  <w:num w:numId="5" w16cid:durableId="350450508">
    <w:abstractNumId w:val="5"/>
  </w:num>
  <w:num w:numId="6" w16cid:durableId="1537738271">
    <w:abstractNumId w:val="16"/>
  </w:num>
  <w:num w:numId="7" w16cid:durableId="810709133">
    <w:abstractNumId w:val="4"/>
  </w:num>
  <w:num w:numId="8" w16cid:durableId="1795828734">
    <w:abstractNumId w:val="19"/>
  </w:num>
  <w:num w:numId="9" w16cid:durableId="1826051533">
    <w:abstractNumId w:val="11"/>
  </w:num>
  <w:num w:numId="10" w16cid:durableId="686906887">
    <w:abstractNumId w:val="3"/>
  </w:num>
  <w:num w:numId="11" w16cid:durableId="915895310">
    <w:abstractNumId w:val="0"/>
  </w:num>
  <w:num w:numId="12" w16cid:durableId="388498870">
    <w:abstractNumId w:val="6"/>
  </w:num>
  <w:num w:numId="13" w16cid:durableId="1137575134">
    <w:abstractNumId w:val="2"/>
  </w:num>
  <w:num w:numId="14" w16cid:durableId="1978341412">
    <w:abstractNumId w:val="1"/>
  </w:num>
  <w:num w:numId="15" w16cid:durableId="18287832">
    <w:abstractNumId w:val="9"/>
  </w:num>
  <w:num w:numId="16" w16cid:durableId="953093502">
    <w:abstractNumId w:val="7"/>
  </w:num>
  <w:num w:numId="17" w16cid:durableId="692682152">
    <w:abstractNumId w:val="14"/>
  </w:num>
  <w:num w:numId="18" w16cid:durableId="1046754973">
    <w:abstractNumId w:val="12"/>
  </w:num>
  <w:num w:numId="19" w16cid:durableId="2015373096">
    <w:abstractNumId w:val="17"/>
  </w:num>
  <w:num w:numId="20" w16cid:durableId="5335381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yNDE2NLYwNDGyMLZQ0lEKTi0uzszPAykwNK8FAEs+AuQtAAAA"/>
  </w:docVars>
  <w:rsids>
    <w:rsidRoot w:val="00E5360F"/>
    <w:rsid w:val="00003914"/>
    <w:rsid w:val="00005B36"/>
    <w:rsid w:val="0001357E"/>
    <w:rsid w:val="000137AB"/>
    <w:rsid w:val="00013804"/>
    <w:rsid w:val="00014383"/>
    <w:rsid w:val="0001498C"/>
    <w:rsid w:val="000177EA"/>
    <w:rsid w:val="0002321A"/>
    <w:rsid w:val="00025070"/>
    <w:rsid w:val="0003142B"/>
    <w:rsid w:val="00031EBA"/>
    <w:rsid w:val="00032453"/>
    <w:rsid w:val="00040149"/>
    <w:rsid w:val="000409A7"/>
    <w:rsid w:val="00040F34"/>
    <w:rsid w:val="00041730"/>
    <w:rsid w:val="00045C21"/>
    <w:rsid w:val="00050014"/>
    <w:rsid w:val="0005505C"/>
    <w:rsid w:val="00055611"/>
    <w:rsid w:val="000565A4"/>
    <w:rsid w:val="000571DC"/>
    <w:rsid w:val="00057C08"/>
    <w:rsid w:val="000609C7"/>
    <w:rsid w:val="00061C4C"/>
    <w:rsid w:val="00062B40"/>
    <w:rsid w:val="00065D5A"/>
    <w:rsid w:val="0006707E"/>
    <w:rsid w:val="00067DB9"/>
    <w:rsid w:val="00074744"/>
    <w:rsid w:val="00080A52"/>
    <w:rsid w:val="00083B93"/>
    <w:rsid w:val="00085704"/>
    <w:rsid w:val="00087A17"/>
    <w:rsid w:val="00095BE1"/>
    <w:rsid w:val="00097E1C"/>
    <w:rsid w:val="000A30B8"/>
    <w:rsid w:val="000A42B0"/>
    <w:rsid w:val="000A72B2"/>
    <w:rsid w:val="000A7EA7"/>
    <w:rsid w:val="000B0FEA"/>
    <w:rsid w:val="000B216B"/>
    <w:rsid w:val="000B2174"/>
    <w:rsid w:val="000B53F2"/>
    <w:rsid w:val="000B581A"/>
    <w:rsid w:val="000B5B1E"/>
    <w:rsid w:val="000C2768"/>
    <w:rsid w:val="000C2BE8"/>
    <w:rsid w:val="000C3877"/>
    <w:rsid w:val="000C4255"/>
    <w:rsid w:val="000C62C6"/>
    <w:rsid w:val="000C697B"/>
    <w:rsid w:val="000D0C80"/>
    <w:rsid w:val="000D2168"/>
    <w:rsid w:val="000D219D"/>
    <w:rsid w:val="000D264D"/>
    <w:rsid w:val="000D32DB"/>
    <w:rsid w:val="000D5C30"/>
    <w:rsid w:val="000D6C5C"/>
    <w:rsid w:val="000E2B05"/>
    <w:rsid w:val="000E5543"/>
    <w:rsid w:val="000E7E65"/>
    <w:rsid w:val="000F0DF4"/>
    <w:rsid w:val="000F4FE7"/>
    <w:rsid w:val="000F7746"/>
    <w:rsid w:val="00100DD9"/>
    <w:rsid w:val="00101763"/>
    <w:rsid w:val="00102EEE"/>
    <w:rsid w:val="0010465C"/>
    <w:rsid w:val="00104EB8"/>
    <w:rsid w:val="00105270"/>
    <w:rsid w:val="0010740C"/>
    <w:rsid w:val="00107C47"/>
    <w:rsid w:val="00114BA9"/>
    <w:rsid w:val="00114DCD"/>
    <w:rsid w:val="00116BB5"/>
    <w:rsid w:val="00117399"/>
    <w:rsid w:val="00123154"/>
    <w:rsid w:val="00124014"/>
    <w:rsid w:val="00124909"/>
    <w:rsid w:val="0012533F"/>
    <w:rsid w:val="001263C2"/>
    <w:rsid w:val="00126419"/>
    <w:rsid w:val="00126FCA"/>
    <w:rsid w:val="001276AF"/>
    <w:rsid w:val="00132521"/>
    <w:rsid w:val="00132D4C"/>
    <w:rsid w:val="001345E2"/>
    <w:rsid w:val="00134B79"/>
    <w:rsid w:val="00135FAD"/>
    <w:rsid w:val="00136DE5"/>
    <w:rsid w:val="00137BBB"/>
    <w:rsid w:val="00140205"/>
    <w:rsid w:val="00140DA5"/>
    <w:rsid w:val="001417FA"/>
    <w:rsid w:val="001472AC"/>
    <w:rsid w:val="0015116D"/>
    <w:rsid w:val="001515DA"/>
    <w:rsid w:val="00153134"/>
    <w:rsid w:val="0015390D"/>
    <w:rsid w:val="00153FF5"/>
    <w:rsid w:val="001568F9"/>
    <w:rsid w:val="00157232"/>
    <w:rsid w:val="00157AB3"/>
    <w:rsid w:val="00157EAB"/>
    <w:rsid w:val="00161F57"/>
    <w:rsid w:val="00161F58"/>
    <w:rsid w:val="001646BC"/>
    <w:rsid w:val="00165F0F"/>
    <w:rsid w:val="00170282"/>
    <w:rsid w:val="00170EB8"/>
    <w:rsid w:val="00176F59"/>
    <w:rsid w:val="0018138D"/>
    <w:rsid w:val="0018590B"/>
    <w:rsid w:val="0019032F"/>
    <w:rsid w:val="00195947"/>
    <w:rsid w:val="00195AA0"/>
    <w:rsid w:val="00196578"/>
    <w:rsid w:val="001978E9"/>
    <w:rsid w:val="001A3607"/>
    <w:rsid w:val="001A53D6"/>
    <w:rsid w:val="001A5CEA"/>
    <w:rsid w:val="001A6BF4"/>
    <w:rsid w:val="001A73F8"/>
    <w:rsid w:val="001A7D73"/>
    <w:rsid w:val="001B02C8"/>
    <w:rsid w:val="001B229B"/>
    <w:rsid w:val="001B7604"/>
    <w:rsid w:val="001C0E0D"/>
    <w:rsid w:val="001C1D86"/>
    <w:rsid w:val="001C1EA9"/>
    <w:rsid w:val="001C2A3D"/>
    <w:rsid w:val="001C493D"/>
    <w:rsid w:val="001D0378"/>
    <w:rsid w:val="001D1917"/>
    <w:rsid w:val="001D2ABD"/>
    <w:rsid w:val="001D41A5"/>
    <w:rsid w:val="001D576E"/>
    <w:rsid w:val="001D63FD"/>
    <w:rsid w:val="001E1CB5"/>
    <w:rsid w:val="001E1FEC"/>
    <w:rsid w:val="001E20C2"/>
    <w:rsid w:val="001E213A"/>
    <w:rsid w:val="001E2810"/>
    <w:rsid w:val="001E3168"/>
    <w:rsid w:val="001E4EB9"/>
    <w:rsid w:val="001E5D3E"/>
    <w:rsid w:val="001E7798"/>
    <w:rsid w:val="001F2BA8"/>
    <w:rsid w:val="001F3C78"/>
    <w:rsid w:val="001F547F"/>
    <w:rsid w:val="001F6309"/>
    <w:rsid w:val="001F6972"/>
    <w:rsid w:val="002021AE"/>
    <w:rsid w:val="002053F0"/>
    <w:rsid w:val="002059AF"/>
    <w:rsid w:val="002077B2"/>
    <w:rsid w:val="00212378"/>
    <w:rsid w:val="0021258B"/>
    <w:rsid w:val="002145DD"/>
    <w:rsid w:val="00223865"/>
    <w:rsid w:val="00227636"/>
    <w:rsid w:val="002318AA"/>
    <w:rsid w:val="002327D4"/>
    <w:rsid w:val="00235709"/>
    <w:rsid w:val="00235A8A"/>
    <w:rsid w:val="00236377"/>
    <w:rsid w:val="00236D08"/>
    <w:rsid w:val="002408C8"/>
    <w:rsid w:val="00242312"/>
    <w:rsid w:val="0024362C"/>
    <w:rsid w:val="00243C1E"/>
    <w:rsid w:val="00244BAB"/>
    <w:rsid w:val="0024509C"/>
    <w:rsid w:val="00247BF7"/>
    <w:rsid w:val="002524A7"/>
    <w:rsid w:val="00252A07"/>
    <w:rsid w:val="002539C1"/>
    <w:rsid w:val="00254564"/>
    <w:rsid w:val="00254B0A"/>
    <w:rsid w:val="0026100F"/>
    <w:rsid w:val="00264BCD"/>
    <w:rsid w:val="0026565A"/>
    <w:rsid w:val="002738CC"/>
    <w:rsid w:val="00274173"/>
    <w:rsid w:val="00280CBD"/>
    <w:rsid w:val="00281CEA"/>
    <w:rsid w:val="00282B4B"/>
    <w:rsid w:val="00285E19"/>
    <w:rsid w:val="00286D8A"/>
    <w:rsid w:val="002876E5"/>
    <w:rsid w:val="00287A7F"/>
    <w:rsid w:val="00287F8D"/>
    <w:rsid w:val="0029030E"/>
    <w:rsid w:val="00290947"/>
    <w:rsid w:val="00290A56"/>
    <w:rsid w:val="00296825"/>
    <w:rsid w:val="002A01AF"/>
    <w:rsid w:val="002A05CE"/>
    <w:rsid w:val="002A384E"/>
    <w:rsid w:val="002A70D0"/>
    <w:rsid w:val="002B0106"/>
    <w:rsid w:val="002B6B76"/>
    <w:rsid w:val="002C1C55"/>
    <w:rsid w:val="002C7310"/>
    <w:rsid w:val="002D2E3C"/>
    <w:rsid w:val="002D5353"/>
    <w:rsid w:val="002E1302"/>
    <w:rsid w:val="002E4438"/>
    <w:rsid w:val="002E5C3D"/>
    <w:rsid w:val="002F0919"/>
    <w:rsid w:val="002F0D55"/>
    <w:rsid w:val="002F185A"/>
    <w:rsid w:val="002F27C2"/>
    <w:rsid w:val="002F3FBC"/>
    <w:rsid w:val="002F7776"/>
    <w:rsid w:val="00300AD8"/>
    <w:rsid w:val="003026CB"/>
    <w:rsid w:val="00304056"/>
    <w:rsid w:val="00305927"/>
    <w:rsid w:val="003071B7"/>
    <w:rsid w:val="00307AB4"/>
    <w:rsid w:val="0031087C"/>
    <w:rsid w:val="0031089D"/>
    <w:rsid w:val="003175E6"/>
    <w:rsid w:val="00317B8C"/>
    <w:rsid w:val="00321FC2"/>
    <w:rsid w:val="00322FCF"/>
    <w:rsid w:val="00323BFD"/>
    <w:rsid w:val="00323FE0"/>
    <w:rsid w:val="003247D3"/>
    <w:rsid w:val="00324C80"/>
    <w:rsid w:val="003269CF"/>
    <w:rsid w:val="003361F6"/>
    <w:rsid w:val="00340F08"/>
    <w:rsid w:val="00341E5F"/>
    <w:rsid w:val="00343695"/>
    <w:rsid w:val="00347AC5"/>
    <w:rsid w:val="00347C13"/>
    <w:rsid w:val="00352DDD"/>
    <w:rsid w:val="0035527C"/>
    <w:rsid w:val="003562B9"/>
    <w:rsid w:val="00360101"/>
    <w:rsid w:val="003620F0"/>
    <w:rsid w:val="00366D93"/>
    <w:rsid w:val="00366EF6"/>
    <w:rsid w:val="00370B43"/>
    <w:rsid w:val="003767A0"/>
    <w:rsid w:val="00376E2D"/>
    <w:rsid w:val="00377BF3"/>
    <w:rsid w:val="003804DB"/>
    <w:rsid w:val="0038085E"/>
    <w:rsid w:val="003846C9"/>
    <w:rsid w:val="003851C4"/>
    <w:rsid w:val="003851C9"/>
    <w:rsid w:val="003860EA"/>
    <w:rsid w:val="003909C3"/>
    <w:rsid w:val="00390B22"/>
    <w:rsid w:val="003A3E8C"/>
    <w:rsid w:val="003B0CBA"/>
    <w:rsid w:val="003B1FED"/>
    <w:rsid w:val="003B3E84"/>
    <w:rsid w:val="003B673F"/>
    <w:rsid w:val="003C012D"/>
    <w:rsid w:val="003C08DD"/>
    <w:rsid w:val="003C31FF"/>
    <w:rsid w:val="003C385B"/>
    <w:rsid w:val="003C51C3"/>
    <w:rsid w:val="003C7D97"/>
    <w:rsid w:val="003D0899"/>
    <w:rsid w:val="003D0E68"/>
    <w:rsid w:val="003D5B7C"/>
    <w:rsid w:val="003E061A"/>
    <w:rsid w:val="003E104F"/>
    <w:rsid w:val="003E42EA"/>
    <w:rsid w:val="003E7548"/>
    <w:rsid w:val="003F17CC"/>
    <w:rsid w:val="003F2581"/>
    <w:rsid w:val="003F34AC"/>
    <w:rsid w:val="003F548D"/>
    <w:rsid w:val="003F57ED"/>
    <w:rsid w:val="00402162"/>
    <w:rsid w:val="00402987"/>
    <w:rsid w:val="004059CD"/>
    <w:rsid w:val="00405D49"/>
    <w:rsid w:val="00407B20"/>
    <w:rsid w:val="00415E75"/>
    <w:rsid w:val="00416CA2"/>
    <w:rsid w:val="00420012"/>
    <w:rsid w:val="00420EF2"/>
    <w:rsid w:val="00423F67"/>
    <w:rsid w:val="00424BA1"/>
    <w:rsid w:val="00426266"/>
    <w:rsid w:val="00431C24"/>
    <w:rsid w:val="00437BBC"/>
    <w:rsid w:val="004401E9"/>
    <w:rsid w:val="00440346"/>
    <w:rsid w:val="004418D2"/>
    <w:rsid w:val="0044203D"/>
    <w:rsid w:val="0044254B"/>
    <w:rsid w:val="004436B0"/>
    <w:rsid w:val="00445AAC"/>
    <w:rsid w:val="0045193B"/>
    <w:rsid w:val="00453268"/>
    <w:rsid w:val="00454737"/>
    <w:rsid w:val="00454DF2"/>
    <w:rsid w:val="0045580F"/>
    <w:rsid w:val="00462B6F"/>
    <w:rsid w:val="0046308E"/>
    <w:rsid w:val="00463DE7"/>
    <w:rsid w:val="00463E4F"/>
    <w:rsid w:val="00466106"/>
    <w:rsid w:val="00466A0C"/>
    <w:rsid w:val="00466C86"/>
    <w:rsid w:val="00471398"/>
    <w:rsid w:val="00471660"/>
    <w:rsid w:val="0047312D"/>
    <w:rsid w:val="00474E4C"/>
    <w:rsid w:val="004760CA"/>
    <w:rsid w:val="00476AE8"/>
    <w:rsid w:val="00476ED5"/>
    <w:rsid w:val="00477359"/>
    <w:rsid w:val="0047797C"/>
    <w:rsid w:val="00480796"/>
    <w:rsid w:val="004811FD"/>
    <w:rsid w:val="00481C43"/>
    <w:rsid w:val="0048387E"/>
    <w:rsid w:val="00483BB9"/>
    <w:rsid w:val="00484617"/>
    <w:rsid w:val="00486988"/>
    <w:rsid w:val="00490AE3"/>
    <w:rsid w:val="00491F1D"/>
    <w:rsid w:val="00496679"/>
    <w:rsid w:val="00496974"/>
    <w:rsid w:val="004974A5"/>
    <w:rsid w:val="0049760D"/>
    <w:rsid w:val="00497A59"/>
    <w:rsid w:val="00497BEF"/>
    <w:rsid w:val="00497EE5"/>
    <w:rsid w:val="004B2C51"/>
    <w:rsid w:val="004B4DE1"/>
    <w:rsid w:val="004B6CFF"/>
    <w:rsid w:val="004C17E0"/>
    <w:rsid w:val="004C1C90"/>
    <w:rsid w:val="004C390E"/>
    <w:rsid w:val="004C798A"/>
    <w:rsid w:val="004D2049"/>
    <w:rsid w:val="004D2C78"/>
    <w:rsid w:val="004D45EE"/>
    <w:rsid w:val="004D5330"/>
    <w:rsid w:val="004E1731"/>
    <w:rsid w:val="004E3087"/>
    <w:rsid w:val="004E3D49"/>
    <w:rsid w:val="004E419B"/>
    <w:rsid w:val="004E4329"/>
    <w:rsid w:val="004E6481"/>
    <w:rsid w:val="004E6DCA"/>
    <w:rsid w:val="004F0DB0"/>
    <w:rsid w:val="004F1E56"/>
    <w:rsid w:val="004F2833"/>
    <w:rsid w:val="004F2E14"/>
    <w:rsid w:val="004F365B"/>
    <w:rsid w:val="00502821"/>
    <w:rsid w:val="00504DE1"/>
    <w:rsid w:val="00505BAB"/>
    <w:rsid w:val="00505BB8"/>
    <w:rsid w:val="00505D5E"/>
    <w:rsid w:val="0050739E"/>
    <w:rsid w:val="00510269"/>
    <w:rsid w:val="00513AA8"/>
    <w:rsid w:val="005157E0"/>
    <w:rsid w:val="005159F1"/>
    <w:rsid w:val="00520C36"/>
    <w:rsid w:val="0052190E"/>
    <w:rsid w:val="00530A27"/>
    <w:rsid w:val="005335E6"/>
    <w:rsid w:val="005345D0"/>
    <w:rsid w:val="0053496F"/>
    <w:rsid w:val="00535680"/>
    <w:rsid w:val="005378D5"/>
    <w:rsid w:val="00537B05"/>
    <w:rsid w:val="00537B59"/>
    <w:rsid w:val="005417C2"/>
    <w:rsid w:val="00542DB4"/>
    <w:rsid w:val="005436A6"/>
    <w:rsid w:val="00546E6E"/>
    <w:rsid w:val="00547AEE"/>
    <w:rsid w:val="00547E2D"/>
    <w:rsid w:val="00550A67"/>
    <w:rsid w:val="00555E1D"/>
    <w:rsid w:val="00557C06"/>
    <w:rsid w:val="0056193B"/>
    <w:rsid w:val="00563190"/>
    <w:rsid w:val="0056550C"/>
    <w:rsid w:val="00572B63"/>
    <w:rsid w:val="00572F2B"/>
    <w:rsid w:val="005760FC"/>
    <w:rsid w:val="00576E09"/>
    <w:rsid w:val="0057712E"/>
    <w:rsid w:val="00577966"/>
    <w:rsid w:val="005779F1"/>
    <w:rsid w:val="00580A07"/>
    <w:rsid w:val="00581677"/>
    <w:rsid w:val="005817AF"/>
    <w:rsid w:val="005819AF"/>
    <w:rsid w:val="00583E27"/>
    <w:rsid w:val="00585C60"/>
    <w:rsid w:val="00592448"/>
    <w:rsid w:val="00592E48"/>
    <w:rsid w:val="005933DC"/>
    <w:rsid w:val="00596573"/>
    <w:rsid w:val="005967E4"/>
    <w:rsid w:val="005A30FE"/>
    <w:rsid w:val="005A56BC"/>
    <w:rsid w:val="005A7FDE"/>
    <w:rsid w:val="005B0D34"/>
    <w:rsid w:val="005B1F4C"/>
    <w:rsid w:val="005B2ED5"/>
    <w:rsid w:val="005B306B"/>
    <w:rsid w:val="005B5260"/>
    <w:rsid w:val="005B66DA"/>
    <w:rsid w:val="005C2B86"/>
    <w:rsid w:val="005C6051"/>
    <w:rsid w:val="005C6C63"/>
    <w:rsid w:val="005D16BF"/>
    <w:rsid w:val="005D2360"/>
    <w:rsid w:val="005D34B3"/>
    <w:rsid w:val="005D613C"/>
    <w:rsid w:val="005D64B7"/>
    <w:rsid w:val="005D7D9E"/>
    <w:rsid w:val="005E0C9C"/>
    <w:rsid w:val="005E0D77"/>
    <w:rsid w:val="005E3C11"/>
    <w:rsid w:val="005F005E"/>
    <w:rsid w:val="005F120A"/>
    <w:rsid w:val="005F3826"/>
    <w:rsid w:val="005F3E8F"/>
    <w:rsid w:val="005F779B"/>
    <w:rsid w:val="00600158"/>
    <w:rsid w:val="006015F0"/>
    <w:rsid w:val="0060214E"/>
    <w:rsid w:val="0060285F"/>
    <w:rsid w:val="00603058"/>
    <w:rsid w:val="00603E9D"/>
    <w:rsid w:val="006076C7"/>
    <w:rsid w:val="00607D75"/>
    <w:rsid w:val="006118DD"/>
    <w:rsid w:val="00611AF9"/>
    <w:rsid w:val="00611ECC"/>
    <w:rsid w:val="006127F5"/>
    <w:rsid w:val="0061350A"/>
    <w:rsid w:val="006136D1"/>
    <w:rsid w:val="00622A8A"/>
    <w:rsid w:val="006253D0"/>
    <w:rsid w:val="00626C4D"/>
    <w:rsid w:val="006277CC"/>
    <w:rsid w:val="00631064"/>
    <w:rsid w:val="00634159"/>
    <w:rsid w:val="00635DAA"/>
    <w:rsid w:val="00637CC8"/>
    <w:rsid w:val="00637EA9"/>
    <w:rsid w:val="006406EE"/>
    <w:rsid w:val="00640A71"/>
    <w:rsid w:val="006419B3"/>
    <w:rsid w:val="00643696"/>
    <w:rsid w:val="00643A01"/>
    <w:rsid w:val="0064469B"/>
    <w:rsid w:val="0064550C"/>
    <w:rsid w:val="00645A1F"/>
    <w:rsid w:val="006538F1"/>
    <w:rsid w:val="00656361"/>
    <w:rsid w:val="006613C4"/>
    <w:rsid w:val="006616E5"/>
    <w:rsid w:val="006664F1"/>
    <w:rsid w:val="00674436"/>
    <w:rsid w:val="00674899"/>
    <w:rsid w:val="00683A56"/>
    <w:rsid w:val="00684DCD"/>
    <w:rsid w:val="0069062B"/>
    <w:rsid w:val="00691F71"/>
    <w:rsid w:val="0069280B"/>
    <w:rsid w:val="00692E14"/>
    <w:rsid w:val="00693900"/>
    <w:rsid w:val="006945D5"/>
    <w:rsid w:val="00694610"/>
    <w:rsid w:val="00695AAD"/>
    <w:rsid w:val="00695FB7"/>
    <w:rsid w:val="00696FAC"/>
    <w:rsid w:val="006971BC"/>
    <w:rsid w:val="006A0ACF"/>
    <w:rsid w:val="006A3E90"/>
    <w:rsid w:val="006A3E97"/>
    <w:rsid w:val="006A45C1"/>
    <w:rsid w:val="006A6F08"/>
    <w:rsid w:val="006B10D7"/>
    <w:rsid w:val="006B1990"/>
    <w:rsid w:val="006B1C6B"/>
    <w:rsid w:val="006B474C"/>
    <w:rsid w:val="006B5607"/>
    <w:rsid w:val="006B5765"/>
    <w:rsid w:val="006C0FCB"/>
    <w:rsid w:val="006C610B"/>
    <w:rsid w:val="006C7D9D"/>
    <w:rsid w:val="006D116C"/>
    <w:rsid w:val="006D148B"/>
    <w:rsid w:val="006D1F1A"/>
    <w:rsid w:val="006D478D"/>
    <w:rsid w:val="006D507B"/>
    <w:rsid w:val="006E09C4"/>
    <w:rsid w:val="006E47DE"/>
    <w:rsid w:val="006F0518"/>
    <w:rsid w:val="006F1CAE"/>
    <w:rsid w:val="006F5C12"/>
    <w:rsid w:val="006F73B4"/>
    <w:rsid w:val="007047E1"/>
    <w:rsid w:val="00704956"/>
    <w:rsid w:val="0071022D"/>
    <w:rsid w:val="00711649"/>
    <w:rsid w:val="00711B4A"/>
    <w:rsid w:val="007130CE"/>
    <w:rsid w:val="0071455F"/>
    <w:rsid w:val="007146C2"/>
    <w:rsid w:val="00714E3C"/>
    <w:rsid w:val="007157BA"/>
    <w:rsid w:val="0071786D"/>
    <w:rsid w:val="00732F4F"/>
    <w:rsid w:val="00734936"/>
    <w:rsid w:val="00736976"/>
    <w:rsid w:val="007376CA"/>
    <w:rsid w:val="00742E3E"/>
    <w:rsid w:val="00743147"/>
    <w:rsid w:val="00744728"/>
    <w:rsid w:val="0075129C"/>
    <w:rsid w:val="00753C3F"/>
    <w:rsid w:val="007567AB"/>
    <w:rsid w:val="007613C4"/>
    <w:rsid w:val="007619B6"/>
    <w:rsid w:val="00761F82"/>
    <w:rsid w:val="00766672"/>
    <w:rsid w:val="00771087"/>
    <w:rsid w:val="00771FFA"/>
    <w:rsid w:val="007737D8"/>
    <w:rsid w:val="00775963"/>
    <w:rsid w:val="00776CE8"/>
    <w:rsid w:val="0078087F"/>
    <w:rsid w:val="00785F2A"/>
    <w:rsid w:val="0079132F"/>
    <w:rsid w:val="007931D2"/>
    <w:rsid w:val="007937FB"/>
    <w:rsid w:val="007946BA"/>
    <w:rsid w:val="007955CC"/>
    <w:rsid w:val="00795D52"/>
    <w:rsid w:val="00797975"/>
    <w:rsid w:val="007A1C28"/>
    <w:rsid w:val="007A2881"/>
    <w:rsid w:val="007A2B86"/>
    <w:rsid w:val="007A4E79"/>
    <w:rsid w:val="007A5650"/>
    <w:rsid w:val="007A6641"/>
    <w:rsid w:val="007A71BB"/>
    <w:rsid w:val="007A7C0D"/>
    <w:rsid w:val="007B1209"/>
    <w:rsid w:val="007B399D"/>
    <w:rsid w:val="007B4EDD"/>
    <w:rsid w:val="007B58CB"/>
    <w:rsid w:val="007C11DE"/>
    <w:rsid w:val="007C2170"/>
    <w:rsid w:val="007C2CEC"/>
    <w:rsid w:val="007C4C9C"/>
    <w:rsid w:val="007C55AF"/>
    <w:rsid w:val="007C5B77"/>
    <w:rsid w:val="007C713E"/>
    <w:rsid w:val="007D2ED9"/>
    <w:rsid w:val="007D4E4A"/>
    <w:rsid w:val="007E139D"/>
    <w:rsid w:val="007E1691"/>
    <w:rsid w:val="007E17DD"/>
    <w:rsid w:val="007E68F9"/>
    <w:rsid w:val="007E6AB1"/>
    <w:rsid w:val="007F2122"/>
    <w:rsid w:val="007F4FA8"/>
    <w:rsid w:val="007F754D"/>
    <w:rsid w:val="0080048B"/>
    <w:rsid w:val="00805AD5"/>
    <w:rsid w:val="00807FA1"/>
    <w:rsid w:val="0081047F"/>
    <w:rsid w:val="00813725"/>
    <w:rsid w:val="00815B5B"/>
    <w:rsid w:val="008178ED"/>
    <w:rsid w:val="00821454"/>
    <w:rsid w:val="00821DAA"/>
    <w:rsid w:val="00824450"/>
    <w:rsid w:val="00826C0B"/>
    <w:rsid w:val="008309DD"/>
    <w:rsid w:val="00831B71"/>
    <w:rsid w:val="00834F31"/>
    <w:rsid w:val="00835134"/>
    <w:rsid w:val="00836578"/>
    <w:rsid w:val="00836866"/>
    <w:rsid w:val="00836C11"/>
    <w:rsid w:val="0084046B"/>
    <w:rsid w:val="00843A64"/>
    <w:rsid w:val="00844CAE"/>
    <w:rsid w:val="00857284"/>
    <w:rsid w:val="00860BAE"/>
    <w:rsid w:val="0086137B"/>
    <w:rsid w:val="008623E6"/>
    <w:rsid w:val="00862F15"/>
    <w:rsid w:val="008666FA"/>
    <w:rsid w:val="00866DC4"/>
    <w:rsid w:val="0087576C"/>
    <w:rsid w:val="00876EC8"/>
    <w:rsid w:val="00877374"/>
    <w:rsid w:val="00877B55"/>
    <w:rsid w:val="008816D4"/>
    <w:rsid w:val="00882734"/>
    <w:rsid w:val="00883736"/>
    <w:rsid w:val="00884464"/>
    <w:rsid w:val="0088680D"/>
    <w:rsid w:val="00890954"/>
    <w:rsid w:val="00891BC5"/>
    <w:rsid w:val="0089229E"/>
    <w:rsid w:val="00893ACB"/>
    <w:rsid w:val="0089442E"/>
    <w:rsid w:val="00894E9A"/>
    <w:rsid w:val="00896AC2"/>
    <w:rsid w:val="008976F0"/>
    <w:rsid w:val="00897C67"/>
    <w:rsid w:val="008A1830"/>
    <w:rsid w:val="008A23D7"/>
    <w:rsid w:val="008A3A16"/>
    <w:rsid w:val="008A5DB5"/>
    <w:rsid w:val="008B172A"/>
    <w:rsid w:val="008B2971"/>
    <w:rsid w:val="008B4BC4"/>
    <w:rsid w:val="008B4DBD"/>
    <w:rsid w:val="008B624A"/>
    <w:rsid w:val="008B72F1"/>
    <w:rsid w:val="008B7C3B"/>
    <w:rsid w:val="008C0C78"/>
    <w:rsid w:val="008C0E53"/>
    <w:rsid w:val="008C35BD"/>
    <w:rsid w:val="008C3944"/>
    <w:rsid w:val="008C56D3"/>
    <w:rsid w:val="008C5B3B"/>
    <w:rsid w:val="008C7CA0"/>
    <w:rsid w:val="008D15F2"/>
    <w:rsid w:val="008D1638"/>
    <w:rsid w:val="008D2616"/>
    <w:rsid w:val="008D2EB1"/>
    <w:rsid w:val="008D3A16"/>
    <w:rsid w:val="008D4B06"/>
    <w:rsid w:val="008D7A09"/>
    <w:rsid w:val="008E11C8"/>
    <w:rsid w:val="008E2776"/>
    <w:rsid w:val="008E30FE"/>
    <w:rsid w:val="008E3430"/>
    <w:rsid w:val="008E57F5"/>
    <w:rsid w:val="008E5812"/>
    <w:rsid w:val="008E737A"/>
    <w:rsid w:val="008E79BD"/>
    <w:rsid w:val="008F25B3"/>
    <w:rsid w:val="008F7AC3"/>
    <w:rsid w:val="009005AA"/>
    <w:rsid w:val="00900A3F"/>
    <w:rsid w:val="0090276A"/>
    <w:rsid w:val="00902CA8"/>
    <w:rsid w:val="00903300"/>
    <w:rsid w:val="009039E7"/>
    <w:rsid w:val="009104F5"/>
    <w:rsid w:val="009124D6"/>
    <w:rsid w:val="00913251"/>
    <w:rsid w:val="0091328A"/>
    <w:rsid w:val="009173FD"/>
    <w:rsid w:val="00923713"/>
    <w:rsid w:val="00924B92"/>
    <w:rsid w:val="00930187"/>
    <w:rsid w:val="009346E0"/>
    <w:rsid w:val="00935C53"/>
    <w:rsid w:val="009406E9"/>
    <w:rsid w:val="009450FD"/>
    <w:rsid w:val="00946107"/>
    <w:rsid w:val="00947BD2"/>
    <w:rsid w:val="00947DD0"/>
    <w:rsid w:val="009521EC"/>
    <w:rsid w:val="00953259"/>
    <w:rsid w:val="009536DB"/>
    <w:rsid w:val="00953881"/>
    <w:rsid w:val="00953D93"/>
    <w:rsid w:val="00954F81"/>
    <w:rsid w:val="00955AED"/>
    <w:rsid w:val="00955B93"/>
    <w:rsid w:val="0095644E"/>
    <w:rsid w:val="00957AF8"/>
    <w:rsid w:val="00957FA2"/>
    <w:rsid w:val="009612FD"/>
    <w:rsid w:val="009653E0"/>
    <w:rsid w:val="00966D88"/>
    <w:rsid w:val="0096741E"/>
    <w:rsid w:val="00967F68"/>
    <w:rsid w:val="00970EE2"/>
    <w:rsid w:val="00971765"/>
    <w:rsid w:val="0097212D"/>
    <w:rsid w:val="009730AF"/>
    <w:rsid w:val="009764F2"/>
    <w:rsid w:val="009823B4"/>
    <w:rsid w:val="0098393A"/>
    <w:rsid w:val="0098394B"/>
    <w:rsid w:val="00984598"/>
    <w:rsid w:val="00984DFA"/>
    <w:rsid w:val="0098590C"/>
    <w:rsid w:val="00987774"/>
    <w:rsid w:val="00991CE0"/>
    <w:rsid w:val="00991D25"/>
    <w:rsid w:val="009931FE"/>
    <w:rsid w:val="009936EB"/>
    <w:rsid w:val="009943CA"/>
    <w:rsid w:val="009956D9"/>
    <w:rsid w:val="009A203A"/>
    <w:rsid w:val="009A34D0"/>
    <w:rsid w:val="009A3B86"/>
    <w:rsid w:val="009A45AA"/>
    <w:rsid w:val="009A6C2E"/>
    <w:rsid w:val="009A6CBE"/>
    <w:rsid w:val="009A7E02"/>
    <w:rsid w:val="009B2103"/>
    <w:rsid w:val="009B38B2"/>
    <w:rsid w:val="009B39FD"/>
    <w:rsid w:val="009C1510"/>
    <w:rsid w:val="009C1931"/>
    <w:rsid w:val="009C1D8D"/>
    <w:rsid w:val="009C30CA"/>
    <w:rsid w:val="009C6F83"/>
    <w:rsid w:val="009D20BD"/>
    <w:rsid w:val="009D277B"/>
    <w:rsid w:val="009D4416"/>
    <w:rsid w:val="009D53CC"/>
    <w:rsid w:val="009E6C16"/>
    <w:rsid w:val="009F09DA"/>
    <w:rsid w:val="009F2B23"/>
    <w:rsid w:val="009F31E0"/>
    <w:rsid w:val="009F3568"/>
    <w:rsid w:val="009F3C36"/>
    <w:rsid w:val="009F3D10"/>
    <w:rsid w:val="00A01F9B"/>
    <w:rsid w:val="00A027F1"/>
    <w:rsid w:val="00A02B66"/>
    <w:rsid w:val="00A03E6E"/>
    <w:rsid w:val="00A049AE"/>
    <w:rsid w:val="00A05D8E"/>
    <w:rsid w:val="00A1283C"/>
    <w:rsid w:val="00A146C6"/>
    <w:rsid w:val="00A14766"/>
    <w:rsid w:val="00A1657D"/>
    <w:rsid w:val="00A20378"/>
    <w:rsid w:val="00A2085D"/>
    <w:rsid w:val="00A21A2D"/>
    <w:rsid w:val="00A23519"/>
    <w:rsid w:val="00A24477"/>
    <w:rsid w:val="00A24E40"/>
    <w:rsid w:val="00A26426"/>
    <w:rsid w:val="00A27ABF"/>
    <w:rsid w:val="00A307D9"/>
    <w:rsid w:val="00A30EA8"/>
    <w:rsid w:val="00A32D1C"/>
    <w:rsid w:val="00A32E96"/>
    <w:rsid w:val="00A336A8"/>
    <w:rsid w:val="00A33DB6"/>
    <w:rsid w:val="00A354A0"/>
    <w:rsid w:val="00A3727F"/>
    <w:rsid w:val="00A37416"/>
    <w:rsid w:val="00A457F8"/>
    <w:rsid w:val="00A53365"/>
    <w:rsid w:val="00A549B3"/>
    <w:rsid w:val="00A57364"/>
    <w:rsid w:val="00A5780E"/>
    <w:rsid w:val="00A5795C"/>
    <w:rsid w:val="00A610C5"/>
    <w:rsid w:val="00A64375"/>
    <w:rsid w:val="00A655C1"/>
    <w:rsid w:val="00A66468"/>
    <w:rsid w:val="00A66D42"/>
    <w:rsid w:val="00A66EC9"/>
    <w:rsid w:val="00A723C1"/>
    <w:rsid w:val="00A72511"/>
    <w:rsid w:val="00A75491"/>
    <w:rsid w:val="00A75D13"/>
    <w:rsid w:val="00A806B2"/>
    <w:rsid w:val="00A83595"/>
    <w:rsid w:val="00A84662"/>
    <w:rsid w:val="00A85397"/>
    <w:rsid w:val="00A939CA"/>
    <w:rsid w:val="00A96327"/>
    <w:rsid w:val="00A96B60"/>
    <w:rsid w:val="00AA03EC"/>
    <w:rsid w:val="00AA28A2"/>
    <w:rsid w:val="00AA4119"/>
    <w:rsid w:val="00AA5666"/>
    <w:rsid w:val="00AA7370"/>
    <w:rsid w:val="00AA7A8B"/>
    <w:rsid w:val="00AB3329"/>
    <w:rsid w:val="00AB7A9A"/>
    <w:rsid w:val="00AC2AFF"/>
    <w:rsid w:val="00AC4FBE"/>
    <w:rsid w:val="00AC6D4B"/>
    <w:rsid w:val="00AC70EC"/>
    <w:rsid w:val="00AD70CA"/>
    <w:rsid w:val="00AE0D74"/>
    <w:rsid w:val="00AE397D"/>
    <w:rsid w:val="00AE4406"/>
    <w:rsid w:val="00AE4B28"/>
    <w:rsid w:val="00AE6BFB"/>
    <w:rsid w:val="00AE7150"/>
    <w:rsid w:val="00AE7598"/>
    <w:rsid w:val="00AF0B98"/>
    <w:rsid w:val="00AF4A60"/>
    <w:rsid w:val="00AF5ABF"/>
    <w:rsid w:val="00AF6AA6"/>
    <w:rsid w:val="00AF7885"/>
    <w:rsid w:val="00B00B29"/>
    <w:rsid w:val="00B025C4"/>
    <w:rsid w:val="00B03C63"/>
    <w:rsid w:val="00B06AD8"/>
    <w:rsid w:val="00B06C01"/>
    <w:rsid w:val="00B106C7"/>
    <w:rsid w:val="00B137C9"/>
    <w:rsid w:val="00B139C9"/>
    <w:rsid w:val="00B15830"/>
    <w:rsid w:val="00B15DC6"/>
    <w:rsid w:val="00B17C95"/>
    <w:rsid w:val="00B20A40"/>
    <w:rsid w:val="00B20BDD"/>
    <w:rsid w:val="00B2159D"/>
    <w:rsid w:val="00B21A65"/>
    <w:rsid w:val="00B25C44"/>
    <w:rsid w:val="00B26055"/>
    <w:rsid w:val="00B32846"/>
    <w:rsid w:val="00B32A7A"/>
    <w:rsid w:val="00B3396A"/>
    <w:rsid w:val="00B35F78"/>
    <w:rsid w:val="00B370B2"/>
    <w:rsid w:val="00B404C9"/>
    <w:rsid w:val="00B40A99"/>
    <w:rsid w:val="00B42B9D"/>
    <w:rsid w:val="00B42D4A"/>
    <w:rsid w:val="00B4538A"/>
    <w:rsid w:val="00B51F08"/>
    <w:rsid w:val="00B55190"/>
    <w:rsid w:val="00B555BC"/>
    <w:rsid w:val="00B567A9"/>
    <w:rsid w:val="00B57FCB"/>
    <w:rsid w:val="00B60784"/>
    <w:rsid w:val="00B62A36"/>
    <w:rsid w:val="00B6476B"/>
    <w:rsid w:val="00B6632D"/>
    <w:rsid w:val="00B73119"/>
    <w:rsid w:val="00B7374A"/>
    <w:rsid w:val="00B7490B"/>
    <w:rsid w:val="00B76127"/>
    <w:rsid w:val="00B77AA3"/>
    <w:rsid w:val="00B77F88"/>
    <w:rsid w:val="00B80056"/>
    <w:rsid w:val="00B80EA8"/>
    <w:rsid w:val="00B80F9A"/>
    <w:rsid w:val="00B839A1"/>
    <w:rsid w:val="00B8466E"/>
    <w:rsid w:val="00B86089"/>
    <w:rsid w:val="00B8629B"/>
    <w:rsid w:val="00B863DF"/>
    <w:rsid w:val="00B93DA6"/>
    <w:rsid w:val="00B95354"/>
    <w:rsid w:val="00BA2671"/>
    <w:rsid w:val="00BA3FC7"/>
    <w:rsid w:val="00BA4DBB"/>
    <w:rsid w:val="00BA7833"/>
    <w:rsid w:val="00BB032D"/>
    <w:rsid w:val="00BB0A24"/>
    <w:rsid w:val="00BB2F78"/>
    <w:rsid w:val="00BB3738"/>
    <w:rsid w:val="00BB44FE"/>
    <w:rsid w:val="00BB7CE8"/>
    <w:rsid w:val="00BC0905"/>
    <w:rsid w:val="00BC2514"/>
    <w:rsid w:val="00BC2EC9"/>
    <w:rsid w:val="00BC4A36"/>
    <w:rsid w:val="00BC6C1D"/>
    <w:rsid w:val="00BC7170"/>
    <w:rsid w:val="00BC7521"/>
    <w:rsid w:val="00BD08F7"/>
    <w:rsid w:val="00BD1574"/>
    <w:rsid w:val="00BD2005"/>
    <w:rsid w:val="00BD367F"/>
    <w:rsid w:val="00BD4086"/>
    <w:rsid w:val="00BD6E7B"/>
    <w:rsid w:val="00BD73BB"/>
    <w:rsid w:val="00BD7404"/>
    <w:rsid w:val="00BE0447"/>
    <w:rsid w:val="00BE053C"/>
    <w:rsid w:val="00BE0D2B"/>
    <w:rsid w:val="00BE29CC"/>
    <w:rsid w:val="00BE32A5"/>
    <w:rsid w:val="00BE465E"/>
    <w:rsid w:val="00BE5394"/>
    <w:rsid w:val="00BF0309"/>
    <w:rsid w:val="00BF0D57"/>
    <w:rsid w:val="00BF16CC"/>
    <w:rsid w:val="00BF1A22"/>
    <w:rsid w:val="00BF30D1"/>
    <w:rsid w:val="00C01B55"/>
    <w:rsid w:val="00C01EBC"/>
    <w:rsid w:val="00C078DB"/>
    <w:rsid w:val="00C107F5"/>
    <w:rsid w:val="00C10FA6"/>
    <w:rsid w:val="00C1149A"/>
    <w:rsid w:val="00C1397C"/>
    <w:rsid w:val="00C1488B"/>
    <w:rsid w:val="00C14B53"/>
    <w:rsid w:val="00C2121A"/>
    <w:rsid w:val="00C25DF7"/>
    <w:rsid w:val="00C25F44"/>
    <w:rsid w:val="00C272C5"/>
    <w:rsid w:val="00C322F1"/>
    <w:rsid w:val="00C35363"/>
    <w:rsid w:val="00C35E18"/>
    <w:rsid w:val="00C36075"/>
    <w:rsid w:val="00C41578"/>
    <w:rsid w:val="00C43973"/>
    <w:rsid w:val="00C44C7A"/>
    <w:rsid w:val="00C501E3"/>
    <w:rsid w:val="00C50BB9"/>
    <w:rsid w:val="00C53369"/>
    <w:rsid w:val="00C572E2"/>
    <w:rsid w:val="00C618FF"/>
    <w:rsid w:val="00C61D6B"/>
    <w:rsid w:val="00C66E59"/>
    <w:rsid w:val="00C74AF6"/>
    <w:rsid w:val="00C74BFC"/>
    <w:rsid w:val="00C75050"/>
    <w:rsid w:val="00C77368"/>
    <w:rsid w:val="00C80B38"/>
    <w:rsid w:val="00C81251"/>
    <w:rsid w:val="00C8339E"/>
    <w:rsid w:val="00C833BD"/>
    <w:rsid w:val="00C84C43"/>
    <w:rsid w:val="00C8626A"/>
    <w:rsid w:val="00C87C30"/>
    <w:rsid w:val="00C87CD1"/>
    <w:rsid w:val="00C90E82"/>
    <w:rsid w:val="00C916FD"/>
    <w:rsid w:val="00C93636"/>
    <w:rsid w:val="00C958A2"/>
    <w:rsid w:val="00CA10B5"/>
    <w:rsid w:val="00CA222A"/>
    <w:rsid w:val="00CA30C8"/>
    <w:rsid w:val="00CB01B3"/>
    <w:rsid w:val="00CB0BA0"/>
    <w:rsid w:val="00CB1829"/>
    <w:rsid w:val="00CB34A4"/>
    <w:rsid w:val="00CB3F1E"/>
    <w:rsid w:val="00CB3FBD"/>
    <w:rsid w:val="00CB6841"/>
    <w:rsid w:val="00CB71BA"/>
    <w:rsid w:val="00CC0393"/>
    <w:rsid w:val="00CC12A4"/>
    <w:rsid w:val="00CC55D8"/>
    <w:rsid w:val="00CC5883"/>
    <w:rsid w:val="00CC69CA"/>
    <w:rsid w:val="00CD021E"/>
    <w:rsid w:val="00CD2625"/>
    <w:rsid w:val="00CD36B0"/>
    <w:rsid w:val="00CD3FFE"/>
    <w:rsid w:val="00CD4916"/>
    <w:rsid w:val="00CD4B5A"/>
    <w:rsid w:val="00CD4EFB"/>
    <w:rsid w:val="00CD57C8"/>
    <w:rsid w:val="00CD61BF"/>
    <w:rsid w:val="00CD6867"/>
    <w:rsid w:val="00CE18C0"/>
    <w:rsid w:val="00CE23DB"/>
    <w:rsid w:val="00CE2D45"/>
    <w:rsid w:val="00CE5DFA"/>
    <w:rsid w:val="00CF35D8"/>
    <w:rsid w:val="00CF6773"/>
    <w:rsid w:val="00CF7281"/>
    <w:rsid w:val="00D074B2"/>
    <w:rsid w:val="00D13B78"/>
    <w:rsid w:val="00D16207"/>
    <w:rsid w:val="00D22D0A"/>
    <w:rsid w:val="00D22E2D"/>
    <w:rsid w:val="00D2388F"/>
    <w:rsid w:val="00D3030C"/>
    <w:rsid w:val="00D35445"/>
    <w:rsid w:val="00D378E1"/>
    <w:rsid w:val="00D379C3"/>
    <w:rsid w:val="00D40E47"/>
    <w:rsid w:val="00D43DE6"/>
    <w:rsid w:val="00D44426"/>
    <w:rsid w:val="00D45795"/>
    <w:rsid w:val="00D47F45"/>
    <w:rsid w:val="00D51DC5"/>
    <w:rsid w:val="00D52C57"/>
    <w:rsid w:val="00D52F4C"/>
    <w:rsid w:val="00D52FE4"/>
    <w:rsid w:val="00D56F6A"/>
    <w:rsid w:val="00D57B5C"/>
    <w:rsid w:val="00D62720"/>
    <w:rsid w:val="00D62900"/>
    <w:rsid w:val="00D63AB4"/>
    <w:rsid w:val="00D648C6"/>
    <w:rsid w:val="00D65E32"/>
    <w:rsid w:val="00D70341"/>
    <w:rsid w:val="00D704E3"/>
    <w:rsid w:val="00D72C8A"/>
    <w:rsid w:val="00D72C97"/>
    <w:rsid w:val="00D75E3C"/>
    <w:rsid w:val="00D76798"/>
    <w:rsid w:val="00D7745F"/>
    <w:rsid w:val="00D8332A"/>
    <w:rsid w:val="00D83B2E"/>
    <w:rsid w:val="00D83D98"/>
    <w:rsid w:val="00D865F3"/>
    <w:rsid w:val="00D92B32"/>
    <w:rsid w:val="00D94682"/>
    <w:rsid w:val="00D96277"/>
    <w:rsid w:val="00D97560"/>
    <w:rsid w:val="00DA1DA9"/>
    <w:rsid w:val="00DA24B9"/>
    <w:rsid w:val="00DA2D65"/>
    <w:rsid w:val="00DA3A7D"/>
    <w:rsid w:val="00DA674F"/>
    <w:rsid w:val="00DA6E0D"/>
    <w:rsid w:val="00DA7640"/>
    <w:rsid w:val="00DB2B43"/>
    <w:rsid w:val="00DB440B"/>
    <w:rsid w:val="00DB547C"/>
    <w:rsid w:val="00DB5E67"/>
    <w:rsid w:val="00DB73BD"/>
    <w:rsid w:val="00DC29B1"/>
    <w:rsid w:val="00DC4AE8"/>
    <w:rsid w:val="00DC6FFA"/>
    <w:rsid w:val="00DD0629"/>
    <w:rsid w:val="00DD1498"/>
    <w:rsid w:val="00DE068E"/>
    <w:rsid w:val="00DE1886"/>
    <w:rsid w:val="00DE2014"/>
    <w:rsid w:val="00DF0A92"/>
    <w:rsid w:val="00DF0B58"/>
    <w:rsid w:val="00DF1A7C"/>
    <w:rsid w:val="00DF49DA"/>
    <w:rsid w:val="00DF587A"/>
    <w:rsid w:val="00DF58E9"/>
    <w:rsid w:val="00DF77FC"/>
    <w:rsid w:val="00E02B65"/>
    <w:rsid w:val="00E113F3"/>
    <w:rsid w:val="00E17C78"/>
    <w:rsid w:val="00E21762"/>
    <w:rsid w:val="00E2435D"/>
    <w:rsid w:val="00E25EE1"/>
    <w:rsid w:val="00E263A5"/>
    <w:rsid w:val="00E26DA0"/>
    <w:rsid w:val="00E302B8"/>
    <w:rsid w:val="00E32137"/>
    <w:rsid w:val="00E32BF0"/>
    <w:rsid w:val="00E35E03"/>
    <w:rsid w:val="00E40356"/>
    <w:rsid w:val="00E41576"/>
    <w:rsid w:val="00E41965"/>
    <w:rsid w:val="00E41CA0"/>
    <w:rsid w:val="00E432E0"/>
    <w:rsid w:val="00E4349B"/>
    <w:rsid w:val="00E43D77"/>
    <w:rsid w:val="00E44852"/>
    <w:rsid w:val="00E469C2"/>
    <w:rsid w:val="00E47C19"/>
    <w:rsid w:val="00E47CC2"/>
    <w:rsid w:val="00E50EE7"/>
    <w:rsid w:val="00E515DC"/>
    <w:rsid w:val="00E51953"/>
    <w:rsid w:val="00E520C9"/>
    <w:rsid w:val="00E5360F"/>
    <w:rsid w:val="00E57D47"/>
    <w:rsid w:val="00E60DB6"/>
    <w:rsid w:val="00E6199C"/>
    <w:rsid w:val="00E61FF3"/>
    <w:rsid w:val="00E6295F"/>
    <w:rsid w:val="00E65144"/>
    <w:rsid w:val="00E70035"/>
    <w:rsid w:val="00E700B8"/>
    <w:rsid w:val="00E7157C"/>
    <w:rsid w:val="00E72DD8"/>
    <w:rsid w:val="00E73E85"/>
    <w:rsid w:val="00E75010"/>
    <w:rsid w:val="00E7747F"/>
    <w:rsid w:val="00E80DFB"/>
    <w:rsid w:val="00E83F03"/>
    <w:rsid w:val="00E844BB"/>
    <w:rsid w:val="00E91668"/>
    <w:rsid w:val="00E916F4"/>
    <w:rsid w:val="00E91FEC"/>
    <w:rsid w:val="00E92E62"/>
    <w:rsid w:val="00E9408F"/>
    <w:rsid w:val="00E94332"/>
    <w:rsid w:val="00EA0168"/>
    <w:rsid w:val="00EA0BD7"/>
    <w:rsid w:val="00EA193C"/>
    <w:rsid w:val="00EA1D46"/>
    <w:rsid w:val="00EA3D8D"/>
    <w:rsid w:val="00EA4549"/>
    <w:rsid w:val="00EA6516"/>
    <w:rsid w:val="00EA7271"/>
    <w:rsid w:val="00EA7EE3"/>
    <w:rsid w:val="00EB0CFD"/>
    <w:rsid w:val="00EB1FFF"/>
    <w:rsid w:val="00EB3410"/>
    <w:rsid w:val="00EB5162"/>
    <w:rsid w:val="00EB58D7"/>
    <w:rsid w:val="00EB5C79"/>
    <w:rsid w:val="00EC23D9"/>
    <w:rsid w:val="00EC4383"/>
    <w:rsid w:val="00ED27C4"/>
    <w:rsid w:val="00ED2DDE"/>
    <w:rsid w:val="00ED52E1"/>
    <w:rsid w:val="00ED6AE1"/>
    <w:rsid w:val="00EE03E0"/>
    <w:rsid w:val="00EF5D55"/>
    <w:rsid w:val="00F01EC2"/>
    <w:rsid w:val="00F03674"/>
    <w:rsid w:val="00F050D7"/>
    <w:rsid w:val="00F064DD"/>
    <w:rsid w:val="00F12D76"/>
    <w:rsid w:val="00F12F17"/>
    <w:rsid w:val="00F13EBC"/>
    <w:rsid w:val="00F153C0"/>
    <w:rsid w:val="00F175BC"/>
    <w:rsid w:val="00F17793"/>
    <w:rsid w:val="00F20C4D"/>
    <w:rsid w:val="00F263C1"/>
    <w:rsid w:val="00F26F6D"/>
    <w:rsid w:val="00F3215F"/>
    <w:rsid w:val="00F343C9"/>
    <w:rsid w:val="00F36368"/>
    <w:rsid w:val="00F40A44"/>
    <w:rsid w:val="00F43B03"/>
    <w:rsid w:val="00F4419E"/>
    <w:rsid w:val="00F44448"/>
    <w:rsid w:val="00F458F6"/>
    <w:rsid w:val="00F45977"/>
    <w:rsid w:val="00F45EF2"/>
    <w:rsid w:val="00F53B85"/>
    <w:rsid w:val="00F53C44"/>
    <w:rsid w:val="00F544F4"/>
    <w:rsid w:val="00F54B9C"/>
    <w:rsid w:val="00F610C4"/>
    <w:rsid w:val="00F6328F"/>
    <w:rsid w:val="00F65188"/>
    <w:rsid w:val="00F66C19"/>
    <w:rsid w:val="00F67A91"/>
    <w:rsid w:val="00F70878"/>
    <w:rsid w:val="00F74B0B"/>
    <w:rsid w:val="00F810B6"/>
    <w:rsid w:val="00F90371"/>
    <w:rsid w:val="00F90901"/>
    <w:rsid w:val="00F940BF"/>
    <w:rsid w:val="00F95F7B"/>
    <w:rsid w:val="00F961C7"/>
    <w:rsid w:val="00F96B96"/>
    <w:rsid w:val="00F97506"/>
    <w:rsid w:val="00FA01DF"/>
    <w:rsid w:val="00FA1026"/>
    <w:rsid w:val="00FA331F"/>
    <w:rsid w:val="00FA50C4"/>
    <w:rsid w:val="00FA5D82"/>
    <w:rsid w:val="00FA7B08"/>
    <w:rsid w:val="00FB0EA1"/>
    <w:rsid w:val="00FB1DE0"/>
    <w:rsid w:val="00FB208E"/>
    <w:rsid w:val="00FB2879"/>
    <w:rsid w:val="00FB2AA9"/>
    <w:rsid w:val="00FB6B3F"/>
    <w:rsid w:val="00FB6DF4"/>
    <w:rsid w:val="00FB6FB1"/>
    <w:rsid w:val="00FC0BBC"/>
    <w:rsid w:val="00FC1921"/>
    <w:rsid w:val="00FC6B8D"/>
    <w:rsid w:val="00FD0D9D"/>
    <w:rsid w:val="00FD2983"/>
    <w:rsid w:val="00FD3FC6"/>
    <w:rsid w:val="00FD4838"/>
    <w:rsid w:val="00FD6AA7"/>
    <w:rsid w:val="00FD702B"/>
    <w:rsid w:val="00FE250B"/>
    <w:rsid w:val="00FE4724"/>
    <w:rsid w:val="00FE5B3C"/>
    <w:rsid w:val="00FE6316"/>
    <w:rsid w:val="00FE73FC"/>
    <w:rsid w:val="00FE7B5B"/>
    <w:rsid w:val="00FF07FB"/>
    <w:rsid w:val="00FF162E"/>
    <w:rsid w:val="00FF5257"/>
    <w:rsid w:val="00FF64D7"/>
    <w:rsid w:val="00FF6A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D3425"/>
  <w15:chartTrackingRefBased/>
  <w15:docId w15:val="{0E5925D1-FFE7-4A39-B64D-A682C247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36D1"/>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Header">
    <w:name w:val="header"/>
    <w:basedOn w:val="Normal"/>
    <w:link w:val="HeaderChar"/>
    <w:uiPriority w:val="99"/>
    <w:unhideWhenUsed/>
    <w:rsid w:val="002C1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1C55"/>
  </w:style>
  <w:style w:type="paragraph" w:styleId="Footer">
    <w:name w:val="footer"/>
    <w:basedOn w:val="Normal"/>
    <w:link w:val="FooterChar"/>
    <w:uiPriority w:val="99"/>
    <w:unhideWhenUsed/>
    <w:rsid w:val="002C1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1C55"/>
  </w:style>
  <w:style w:type="paragraph" w:styleId="ListParagraph">
    <w:name w:val="List Paragraph"/>
    <w:basedOn w:val="Normal"/>
    <w:uiPriority w:val="34"/>
    <w:qFormat/>
    <w:rsid w:val="00BF0D57"/>
    <w:pPr>
      <w:ind w:left="720"/>
      <w:contextualSpacing/>
    </w:pPr>
  </w:style>
  <w:style w:type="character" w:styleId="Hyperlink">
    <w:name w:val="Hyperlink"/>
    <w:basedOn w:val="DefaultParagraphFont"/>
    <w:uiPriority w:val="99"/>
    <w:unhideWhenUsed/>
    <w:rsid w:val="007D2ED9"/>
    <w:rPr>
      <w:color w:val="0563C1" w:themeColor="hyperlink"/>
      <w:u w:val="single"/>
    </w:rPr>
  </w:style>
  <w:style w:type="character" w:styleId="UnresolvedMention">
    <w:name w:val="Unresolved Mention"/>
    <w:basedOn w:val="DefaultParagraphFont"/>
    <w:uiPriority w:val="99"/>
    <w:semiHidden/>
    <w:unhideWhenUsed/>
    <w:rsid w:val="007D2ED9"/>
    <w:rPr>
      <w:color w:val="605E5C"/>
      <w:shd w:val="clear" w:color="auto" w:fill="E1DFDD"/>
    </w:rPr>
  </w:style>
  <w:style w:type="character" w:styleId="FollowedHyperlink">
    <w:name w:val="FollowedHyperlink"/>
    <w:basedOn w:val="DefaultParagraphFont"/>
    <w:uiPriority w:val="99"/>
    <w:semiHidden/>
    <w:unhideWhenUsed/>
    <w:rsid w:val="00891BC5"/>
    <w:rPr>
      <w:color w:val="954F72" w:themeColor="followedHyperlink"/>
      <w:u w:val="single"/>
    </w:rPr>
  </w:style>
  <w:style w:type="paragraph" w:customStyle="1" w:styleId="Default">
    <w:name w:val="Default"/>
    <w:rsid w:val="007E17D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F16CC"/>
    <w:rPr>
      <w:sz w:val="16"/>
      <w:szCs w:val="16"/>
    </w:rPr>
  </w:style>
  <w:style w:type="paragraph" w:styleId="CommentText">
    <w:name w:val="annotation text"/>
    <w:basedOn w:val="Normal"/>
    <w:link w:val="CommentTextChar"/>
    <w:uiPriority w:val="99"/>
    <w:unhideWhenUsed/>
    <w:rsid w:val="00BF16CC"/>
    <w:pPr>
      <w:spacing w:line="240" w:lineRule="auto"/>
    </w:pPr>
    <w:rPr>
      <w:sz w:val="20"/>
      <w:szCs w:val="20"/>
    </w:rPr>
  </w:style>
  <w:style w:type="character" w:customStyle="1" w:styleId="CommentTextChar">
    <w:name w:val="Comment Text Char"/>
    <w:basedOn w:val="DefaultParagraphFont"/>
    <w:link w:val="CommentText"/>
    <w:uiPriority w:val="99"/>
    <w:rsid w:val="00BF16CC"/>
    <w:rPr>
      <w:sz w:val="20"/>
      <w:szCs w:val="20"/>
    </w:rPr>
  </w:style>
  <w:style w:type="paragraph" w:styleId="CommentSubject">
    <w:name w:val="annotation subject"/>
    <w:basedOn w:val="CommentText"/>
    <w:next w:val="CommentText"/>
    <w:link w:val="CommentSubjectChar"/>
    <w:uiPriority w:val="99"/>
    <w:semiHidden/>
    <w:unhideWhenUsed/>
    <w:rsid w:val="00BF16CC"/>
    <w:rPr>
      <w:b/>
      <w:bCs/>
    </w:rPr>
  </w:style>
  <w:style w:type="character" w:customStyle="1" w:styleId="CommentSubjectChar">
    <w:name w:val="Comment Subject Char"/>
    <w:basedOn w:val="CommentTextChar"/>
    <w:link w:val="CommentSubject"/>
    <w:uiPriority w:val="99"/>
    <w:semiHidden/>
    <w:rsid w:val="00BF16CC"/>
    <w:rPr>
      <w:b/>
      <w:bCs/>
      <w:sz w:val="20"/>
      <w:szCs w:val="20"/>
    </w:rPr>
  </w:style>
  <w:style w:type="paragraph" w:styleId="HTMLPreformatted">
    <w:name w:val="HTML Preformatted"/>
    <w:basedOn w:val="Normal"/>
    <w:link w:val="HTMLPreformattedChar"/>
    <w:uiPriority w:val="99"/>
    <w:unhideWhenUsed/>
    <w:rsid w:val="00F9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F95F7B"/>
    <w:rPr>
      <w:rFonts w:ascii="Courier New" w:eastAsia="Times New Roman" w:hAnsi="Courier New" w:cs="Courier New"/>
      <w:sz w:val="20"/>
      <w:szCs w:val="20"/>
      <w:lang w:eastAsia="el-GR"/>
    </w:rPr>
  </w:style>
  <w:style w:type="character" w:customStyle="1" w:styleId="ui-provider">
    <w:name w:val="ui-provider"/>
    <w:basedOn w:val="DefaultParagraphFont"/>
    <w:rsid w:val="0040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1885">
      <w:bodyDiv w:val="1"/>
      <w:marLeft w:val="0"/>
      <w:marRight w:val="0"/>
      <w:marTop w:val="0"/>
      <w:marBottom w:val="0"/>
      <w:divBdr>
        <w:top w:val="none" w:sz="0" w:space="0" w:color="auto"/>
        <w:left w:val="none" w:sz="0" w:space="0" w:color="auto"/>
        <w:bottom w:val="none" w:sz="0" w:space="0" w:color="auto"/>
        <w:right w:val="none" w:sz="0" w:space="0" w:color="auto"/>
      </w:divBdr>
    </w:div>
    <w:div w:id="224221845">
      <w:bodyDiv w:val="1"/>
      <w:marLeft w:val="0"/>
      <w:marRight w:val="0"/>
      <w:marTop w:val="0"/>
      <w:marBottom w:val="0"/>
      <w:divBdr>
        <w:top w:val="none" w:sz="0" w:space="0" w:color="auto"/>
        <w:left w:val="none" w:sz="0" w:space="0" w:color="auto"/>
        <w:bottom w:val="none" w:sz="0" w:space="0" w:color="auto"/>
        <w:right w:val="none" w:sz="0" w:space="0" w:color="auto"/>
      </w:divBdr>
    </w:div>
    <w:div w:id="389503356">
      <w:bodyDiv w:val="1"/>
      <w:marLeft w:val="0"/>
      <w:marRight w:val="0"/>
      <w:marTop w:val="0"/>
      <w:marBottom w:val="0"/>
      <w:divBdr>
        <w:top w:val="none" w:sz="0" w:space="0" w:color="auto"/>
        <w:left w:val="none" w:sz="0" w:space="0" w:color="auto"/>
        <w:bottom w:val="none" w:sz="0" w:space="0" w:color="auto"/>
        <w:right w:val="none" w:sz="0" w:space="0" w:color="auto"/>
      </w:divBdr>
    </w:div>
    <w:div w:id="421995768">
      <w:bodyDiv w:val="1"/>
      <w:marLeft w:val="0"/>
      <w:marRight w:val="0"/>
      <w:marTop w:val="0"/>
      <w:marBottom w:val="0"/>
      <w:divBdr>
        <w:top w:val="none" w:sz="0" w:space="0" w:color="auto"/>
        <w:left w:val="none" w:sz="0" w:space="0" w:color="auto"/>
        <w:bottom w:val="none" w:sz="0" w:space="0" w:color="auto"/>
        <w:right w:val="none" w:sz="0" w:space="0" w:color="auto"/>
      </w:divBdr>
    </w:div>
    <w:div w:id="444033963">
      <w:bodyDiv w:val="1"/>
      <w:marLeft w:val="0"/>
      <w:marRight w:val="0"/>
      <w:marTop w:val="0"/>
      <w:marBottom w:val="0"/>
      <w:divBdr>
        <w:top w:val="none" w:sz="0" w:space="0" w:color="auto"/>
        <w:left w:val="none" w:sz="0" w:space="0" w:color="auto"/>
        <w:bottom w:val="none" w:sz="0" w:space="0" w:color="auto"/>
        <w:right w:val="none" w:sz="0" w:space="0" w:color="auto"/>
      </w:divBdr>
    </w:div>
    <w:div w:id="527524218">
      <w:bodyDiv w:val="1"/>
      <w:marLeft w:val="0"/>
      <w:marRight w:val="0"/>
      <w:marTop w:val="0"/>
      <w:marBottom w:val="0"/>
      <w:divBdr>
        <w:top w:val="none" w:sz="0" w:space="0" w:color="auto"/>
        <w:left w:val="none" w:sz="0" w:space="0" w:color="auto"/>
        <w:bottom w:val="none" w:sz="0" w:space="0" w:color="auto"/>
        <w:right w:val="none" w:sz="0" w:space="0" w:color="auto"/>
      </w:divBdr>
    </w:div>
    <w:div w:id="737291533">
      <w:bodyDiv w:val="1"/>
      <w:marLeft w:val="0"/>
      <w:marRight w:val="0"/>
      <w:marTop w:val="0"/>
      <w:marBottom w:val="0"/>
      <w:divBdr>
        <w:top w:val="none" w:sz="0" w:space="0" w:color="auto"/>
        <w:left w:val="none" w:sz="0" w:space="0" w:color="auto"/>
        <w:bottom w:val="none" w:sz="0" w:space="0" w:color="auto"/>
        <w:right w:val="none" w:sz="0" w:space="0" w:color="auto"/>
      </w:divBdr>
    </w:div>
    <w:div w:id="901335717">
      <w:bodyDiv w:val="1"/>
      <w:marLeft w:val="0"/>
      <w:marRight w:val="0"/>
      <w:marTop w:val="0"/>
      <w:marBottom w:val="0"/>
      <w:divBdr>
        <w:top w:val="none" w:sz="0" w:space="0" w:color="auto"/>
        <w:left w:val="none" w:sz="0" w:space="0" w:color="auto"/>
        <w:bottom w:val="none" w:sz="0" w:space="0" w:color="auto"/>
        <w:right w:val="none" w:sz="0" w:space="0" w:color="auto"/>
      </w:divBdr>
    </w:div>
    <w:div w:id="1036856387">
      <w:bodyDiv w:val="1"/>
      <w:marLeft w:val="0"/>
      <w:marRight w:val="0"/>
      <w:marTop w:val="0"/>
      <w:marBottom w:val="0"/>
      <w:divBdr>
        <w:top w:val="none" w:sz="0" w:space="0" w:color="auto"/>
        <w:left w:val="none" w:sz="0" w:space="0" w:color="auto"/>
        <w:bottom w:val="none" w:sz="0" w:space="0" w:color="auto"/>
        <w:right w:val="none" w:sz="0" w:space="0" w:color="auto"/>
      </w:divBdr>
    </w:div>
    <w:div w:id="1060057220">
      <w:bodyDiv w:val="1"/>
      <w:marLeft w:val="0"/>
      <w:marRight w:val="0"/>
      <w:marTop w:val="0"/>
      <w:marBottom w:val="0"/>
      <w:divBdr>
        <w:top w:val="none" w:sz="0" w:space="0" w:color="auto"/>
        <w:left w:val="none" w:sz="0" w:space="0" w:color="auto"/>
        <w:bottom w:val="none" w:sz="0" w:space="0" w:color="auto"/>
        <w:right w:val="none" w:sz="0" w:space="0" w:color="auto"/>
      </w:divBdr>
    </w:div>
    <w:div w:id="1090349049">
      <w:bodyDiv w:val="1"/>
      <w:marLeft w:val="0"/>
      <w:marRight w:val="0"/>
      <w:marTop w:val="0"/>
      <w:marBottom w:val="0"/>
      <w:divBdr>
        <w:top w:val="none" w:sz="0" w:space="0" w:color="auto"/>
        <w:left w:val="none" w:sz="0" w:space="0" w:color="auto"/>
        <w:bottom w:val="none" w:sz="0" w:space="0" w:color="auto"/>
        <w:right w:val="none" w:sz="0" w:space="0" w:color="auto"/>
      </w:divBdr>
    </w:div>
    <w:div w:id="1113287485">
      <w:bodyDiv w:val="1"/>
      <w:marLeft w:val="0"/>
      <w:marRight w:val="0"/>
      <w:marTop w:val="0"/>
      <w:marBottom w:val="0"/>
      <w:divBdr>
        <w:top w:val="none" w:sz="0" w:space="0" w:color="auto"/>
        <w:left w:val="none" w:sz="0" w:space="0" w:color="auto"/>
        <w:bottom w:val="none" w:sz="0" w:space="0" w:color="auto"/>
        <w:right w:val="none" w:sz="0" w:space="0" w:color="auto"/>
      </w:divBdr>
    </w:div>
    <w:div w:id="1232958924">
      <w:bodyDiv w:val="1"/>
      <w:marLeft w:val="0"/>
      <w:marRight w:val="0"/>
      <w:marTop w:val="0"/>
      <w:marBottom w:val="0"/>
      <w:divBdr>
        <w:top w:val="none" w:sz="0" w:space="0" w:color="auto"/>
        <w:left w:val="none" w:sz="0" w:space="0" w:color="auto"/>
        <w:bottom w:val="none" w:sz="0" w:space="0" w:color="auto"/>
        <w:right w:val="none" w:sz="0" w:space="0" w:color="auto"/>
      </w:divBdr>
    </w:div>
    <w:div w:id="1255477128">
      <w:bodyDiv w:val="1"/>
      <w:marLeft w:val="0"/>
      <w:marRight w:val="0"/>
      <w:marTop w:val="0"/>
      <w:marBottom w:val="0"/>
      <w:divBdr>
        <w:top w:val="none" w:sz="0" w:space="0" w:color="auto"/>
        <w:left w:val="none" w:sz="0" w:space="0" w:color="auto"/>
        <w:bottom w:val="none" w:sz="0" w:space="0" w:color="auto"/>
        <w:right w:val="none" w:sz="0" w:space="0" w:color="auto"/>
      </w:divBdr>
    </w:div>
    <w:div w:id="1403524158">
      <w:bodyDiv w:val="1"/>
      <w:marLeft w:val="0"/>
      <w:marRight w:val="0"/>
      <w:marTop w:val="0"/>
      <w:marBottom w:val="0"/>
      <w:divBdr>
        <w:top w:val="none" w:sz="0" w:space="0" w:color="auto"/>
        <w:left w:val="none" w:sz="0" w:space="0" w:color="auto"/>
        <w:bottom w:val="none" w:sz="0" w:space="0" w:color="auto"/>
        <w:right w:val="none" w:sz="0" w:space="0" w:color="auto"/>
      </w:divBdr>
    </w:div>
    <w:div w:id="1612323755">
      <w:bodyDiv w:val="1"/>
      <w:marLeft w:val="0"/>
      <w:marRight w:val="0"/>
      <w:marTop w:val="0"/>
      <w:marBottom w:val="0"/>
      <w:divBdr>
        <w:top w:val="none" w:sz="0" w:space="0" w:color="auto"/>
        <w:left w:val="none" w:sz="0" w:space="0" w:color="auto"/>
        <w:bottom w:val="none" w:sz="0" w:space="0" w:color="auto"/>
        <w:right w:val="none" w:sz="0" w:space="0" w:color="auto"/>
      </w:divBdr>
    </w:div>
    <w:div w:id="1650329427">
      <w:bodyDiv w:val="1"/>
      <w:marLeft w:val="0"/>
      <w:marRight w:val="0"/>
      <w:marTop w:val="0"/>
      <w:marBottom w:val="0"/>
      <w:divBdr>
        <w:top w:val="none" w:sz="0" w:space="0" w:color="auto"/>
        <w:left w:val="none" w:sz="0" w:space="0" w:color="auto"/>
        <w:bottom w:val="none" w:sz="0" w:space="0" w:color="auto"/>
        <w:right w:val="none" w:sz="0" w:space="0" w:color="auto"/>
      </w:divBdr>
    </w:div>
    <w:div w:id="1651640923">
      <w:bodyDiv w:val="1"/>
      <w:marLeft w:val="0"/>
      <w:marRight w:val="0"/>
      <w:marTop w:val="0"/>
      <w:marBottom w:val="0"/>
      <w:divBdr>
        <w:top w:val="none" w:sz="0" w:space="0" w:color="auto"/>
        <w:left w:val="none" w:sz="0" w:space="0" w:color="auto"/>
        <w:bottom w:val="none" w:sz="0" w:space="0" w:color="auto"/>
        <w:right w:val="none" w:sz="0" w:space="0" w:color="auto"/>
      </w:divBdr>
    </w:div>
    <w:div w:id="1660035770">
      <w:bodyDiv w:val="1"/>
      <w:marLeft w:val="0"/>
      <w:marRight w:val="0"/>
      <w:marTop w:val="0"/>
      <w:marBottom w:val="0"/>
      <w:divBdr>
        <w:top w:val="none" w:sz="0" w:space="0" w:color="auto"/>
        <w:left w:val="none" w:sz="0" w:space="0" w:color="auto"/>
        <w:bottom w:val="none" w:sz="0" w:space="0" w:color="auto"/>
        <w:right w:val="none" w:sz="0" w:space="0" w:color="auto"/>
      </w:divBdr>
    </w:div>
    <w:div w:id="1661496079">
      <w:bodyDiv w:val="1"/>
      <w:marLeft w:val="0"/>
      <w:marRight w:val="0"/>
      <w:marTop w:val="0"/>
      <w:marBottom w:val="0"/>
      <w:divBdr>
        <w:top w:val="none" w:sz="0" w:space="0" w:color="auto"/>
        <w:left w:val="none" w:sz="0" w:space="0" w:color="auto"/>
        <w:bottom w:val="none" w:sz="0" w:space="0" w:color="auto"/>
        <w:right w:val="none" w:sz="0" w:space="0" w:color="auto"/>
      </w:divBdr>
    </w:div>
    <w:div w:id="1794473540">
      <w:bodyDiv w:val="1"/>
      <w:marLeft w:val="0"/>
      <w:marRight w:val="0"/>
      <w:marTop w:val="0"/>
      <w:marBottom w:val="0"/>
      <w:divBdr>
        <w:top w:val="none" w:sz="0" w:space="0" w:color="auto"/>
        <w:left w:val="none" w:sz="0" w:space="0" w:color="auto"/>
        <w:bottom w:val="none" w:sz="0" w:space="0" w:color="auto"/>
        <w:right w:val="none" w:sz="0" w:space="0" w:color="auto"/>
      </w:divBdr>
    </w:div>
    <w:div w:id="1800298176">
      <w:bodyDiv w:val="1"/>
      <w:marLeft w:val="0"/>
      <w:marRight w:val="0"/>
      <w:marTop w:val="0"/>
      <w:marBottom w:val="0"/>
      <w:divBdr>
        <w:top w:val="none" w:sz="0" w:space="0" w:color="auto"/>
        <w:left w:val="none" w:sz="0" w:space="0" w:color="auto"/>
        <w:bottom w:val="none" w:sz="0" w:space="0" w:color="auto"/>
        <w:right w:val="none" w:sz="0" w:space="0" w:color="auto"/>
      </w:divBdr>
    </w:div>
    <w:div w:id="195293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phamutual.gr/en/our-mutual-funds" TargetMode="External"/><Relationship Id="rId18" Type="http://schemas.openxmlformats.org/officeDocument/2006/relationships/hyperlink" Target="https://www.alphamutual.gr/el/ta-amoivaia-kefalaia-m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lphamutual.gr/en" TargetMode="External"/><Relationship Id="rId17" Type="http://schemas.openxmlformats.org/officeDocument/2006/relationships/hyperlink" Target="https://www.alphamutual.gr/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alphaasset.g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lphamutual.gr/en/contact-u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phamutual.gr/en/our-mutual-fund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08d22c-dc06-46f9-aeb1-4aea74c7309e">
      <Terms xmlns="http://schemas.microsoft.com/office/infopath/2007/PartnerControls"/>
    </lcf76f155ced4ddcb4097134ff3c332f>
    <TaxCatchAll xmlns="a3b2e783-beab-4ac8-b4a8-b911e736b94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 (1).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C21228DD9F0149954C86A728CE0D4C" ma:contentTypeVersion="11" ma:contentTypeDescription="Create a new document." ma:contentTypeScope="" ma:versionID="6b8b1d6b7b5edd6a2a14f5d303627b5a">
  <xsd:schema xmlns:xsd="http://www.w3.org/2001/XMLSchema" xmlns:xs="http://www.w3.org/2001/XMLSchema" xmlns:p="http://schemas.microsoft.com/office/2006/metadata/properties" xmlns:ns2="7c08d22c-dc06-46f9-aeb1-4aea74c7309e" xmlns:ns3="a3b2e783-beab-4ac8-b4a8-b911e736b94d" targetNamespace="http://schemas.microsoft.com/office/2006/metadata/properties" ma:root="true" ma:fieldsID="b8961984a431e48d6d22e6e5376da776" ns2:_="" ns3:_="">
    <xsd:import namespace="7c08d22c-dc06-46f9-aeb1-4aea74c7309e"/>
    <xsd:import namespace="a3b2e783-beab-4ac8-b4a8-b911e736b9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8d22c-dc06-46f9-aeb1-4aea74c73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b2e783-beab-4ac8-b4a8-b911e736b9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6dac6-3c7f-439c-8762-51cae1d3d320}" ma:internalName="TaxCatchAll" ma:showField="CatchAllData" ma:web="a3b2e783-beab-4ac8-b4a8-b911e736b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19C93-C7EA-44A1-A8EA-1E64E48EBDAA}">
  <ds:schemaRefs>
    <ds:schemaRef ds:uri="http://schemas.microsoft.com/office/2006/metadata/properties"/>
    <ds:schemaRef ds:uri="http://schemas.microsoft.com/office/infopath/2007/PartnerControls"/>
    <ds:schemaRef ds:uri="7c08d22c-dc06-46f9-aeb1-4aea74c7309e"/>
    <ds:schemaRef ds:uri="a3b2e783-beab-4ac8-b4a8-b911e736b94d"/>
  </ds:schemaRefs>
</ds:datastoreItem>
</file>

<file path=customXml/itemProps2.xml><?xml version="1.0" encoding="utf-8"?>
<ds:datastoreItem xmlns:ds="http://schemas.openxmlformats.org/officeDocument/2006/customXml" ds:itemID="{C00F31F2-3E8F-4A76-B1F8-B84618DA6F62}">
  <ds:schemaRefs>
    <ds:schemaRef ds:uri="http://schemas.openxmlformats.org/officeDocument/2006/bibliography"/>
  </ds:schemaRefs>
</ds:datastoreItem>
</file>

<file path=customXml/itemProps3.xml><?xml version="1.0" encoding="utf-8"?>
<ds:datastoreItem xmlns:ds="http://schemas.openxmlformats.org/officeDocument/2006/customXml" ds:itemID="{1EAE9410-1647-48CD-AF65-00E62F23C01F}">
  <ds:schemaRefs>
    <ds:schemaRef ds:uri="http://schemas.microsoft.com/sharepoint/v3/contenttype/forms"/>
  </ds:schemaRefs>
</ds:datastoreItem>
</file>

<file path=customXml/itemProps4.xml><?xml version="1.0" encoding="utf-8"?>
<ds:datastoreItem xmlns:ds="http://schemas.openxmlformats.org/officeDocument/2006/customXml" ds:itemID="{953D4C32-F895-4D6A-8307-7F518FDD7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8d22c-dc06-46f9-aeb1-4aea74c7309e"/>
    <ds:schemaRef ds:uri="a3b2e783-beab-4ac8-b4a8-b911e736b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2698</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dc:creator>
  <cp:keywords/>
  <dc:description/>
  <cp:lastModifiedBy>Antonopoulou Konstantina</cp:lastModifiedBy>
  <cp:revision>16</cp:revision>
  <dcterms:created xsi:type="dcterms:W3CDTF">2025-12-10T12:21:00Z</dcterms:created>
  <dcterms:modified xsi:type="dcterms:W3CDTF">2026-01-28T14:34:00Z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0x01010048C21228DD9F0149954C86A728CE0D4C</vt:lpwstr>
  </property>
  <property fmtid="{D5CDD505-2E9C-101B-9397-08002B2CF9AE}" pid="3" name="MSIP_Label_3b8d3c1f-739d-4b15-82f9-3af0fe19718a_Enabled">
    <vt:lpwstr>true</vt:lpwstr>
  </property>
  <property fmtid="{D5CDD505-2E9C-101B-9397-08002B2CF9AE}" pid="4" name="MSIP_Label_3b8d3c1f-739d-4b15-82f9-3af0fe19718a_SetDate">
    <vt:lpwstr>2022-12-30T10:32:05Z</vt:lpwstr>
  </property>
  <property fmtid="{D5CDD505-2E9C-101B-9397-08002B2CF9AE}" pid="5" name="MSIP_Label_3b8d3c1f-739d-4b15-82f9-3af0fe19718a_Method">
    <vt:lpwstr>Standard</vt:lpwstr>
  </property>
  <property fmtid="{D5CDD505-2E9C-101B-9397-08002B2CF9AE}" pid="6" name="MSIP_Label_3b8d3c1f-739d-4b15-82f9-3af0fe19718a_Name">
    <vt:lpwstr>3b8d3c1f-739d-4b15-82f9-3af0fe19718a</vt:lpwstr>
  </property>
  <property fmtid="{D5CDD505-2E9C-101B-9397-08002B2CF9AE}" pid="7" name="MSIP_Label_3b8d3c1f-739d-4b15-82f9-3af0fe19718a_SiteId">
    <vt:lpwstr>c80515ef-93c1-429d-87e1-d66eb567b009</vt:lpwstr>
  </property>
  <property fmtid="{D5CDD505-2E9C-101B-9397-08002B2CF9AE}" pid="8" name="MSIP_Label_3b8d3c1f-739d-4b15-82f9-3af0fe19718a_ActionId">
    <vt:lpwstr>c310db70-8784-4d80-acd9-6c672e354ed1</vt:lpwstr>
  </property>
  <property fmtid="{D5CDD505-2E9C-101B-9397-08002B2CF9AE}" pid="9" name="MSIP_Label_3b8d3c1f-739d-4b15-82f9-3af0fe19718a_ContentBits">
    <vt:lpwstr>0</vt:lpwstr>
  </property>
  <property fmtid="{D5CDD505-2E9C-101B-9397-08002B2CF9AE}" pid="10" name="GrammarlyDocumentId">
    <vt:lpwstr>9c4a3e290df5f76d13038efe655c105db0a1208d7a521bada184938dda3a9ced</vt:lpwstr>
  </property>
  <property fmtid="{D5CDD505-2E9C-101B-9397-08002B2CF9AE}" pid="11" name="MediaServiceImageTags">
    <vt:lpwstr/>
  </property>
</Properties>
</file>